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FE7" w:rsidRDefault="00184FE7" w:rsidP="00184FE7">
      <w:pPr>
        <w:pStyle w:val="Annexe"/>
        <w:ind w:left="6372" w:firstLine="708"/>
        <w:jc w:val="both"/>
      </w:pPr>
      <w:r>
        <w:rPr>
          <w:b w:val="0"/>
          <w:noProof/>
          <w:lang w:eastAsia="fr-FR"/>
        </w:rPr>
        <w:drawing>
          <wp:anchor distT="0" distB="0" distL="114300" distR="114300" simplePos="0" relativeHeight="251659264" behindDoc="1" locked="0" layoutInCell="1" allowOverlap="1" wp14:anchorId="2F2E385C" wp14:editId="1B34EEC0">
            <wp:simplePos x="0" y="0"/>
            <wp:positionH relativeFrom="column">
              <wp:posOffset>-208280</wp:posOffset>
            </wp:positionH>
            <wp:positionV relativeFrom="paragraph">
              <wp:posOffset>-14605</wp:posOffset>
            </wp:positionV>
            <wp:extent cx="1800225" cy="1038225"/>
            <wp:effectExtent l="0" t="0" r="9525" b="9525"/>
            <wp:wrapTight wrapText="bothSides">
              <wp:wrapPolygon edited="0">
                <wp:start x="0" y="0"/>
                <wp:lineTo x="0" y="21402"/>
                <wp:lineTo x="21486" y="21402"/>
                <wp:lineTo x="21486" y="0"/>
                <wp:lineTo x="0" y="0"/>
              </wp:wrapPolygon>
            </wp:wrapTight>
            <wp:docPr id="1" name="Image 3" descr="ARS_LOGO_Normandie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RS_LOGO_Normandie150dp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FE7" w:rsidRDefault="00184FE7" w:rsidP="00B42121">
      <w:pPr>
        <w:pStyle w:val="Annexe"/>
      </w:pPr>
    </w:p>
    <w:p w:rsidR="00184FE7" w:rsidRDefault="00184FE7" w:rsidP="00B42121">
      <w:pPr>
        <w:pStyle w:val="Annexe"/>
      </w:pPr>
    </w:p>
    <w:p w:rsidR="00184FE7" w:rsidRDefault="00184FE7" w:rsidP="00264059">
      <w:pPr>
        <w:pStyle w:val="Annexe"/>
        <w:spacing w:before="0"/>
      </w:pPr>
    </w:p>
    <w:p w:rsidR="00264059" w:rsidRDefault="00264059" w:rsidP="00264059">
      <w:pPr>
        <w:pStyle w:val="Annexe"/>
        <w:spacing w:before="0"/>
      </w:pPr>
    </w:p>
    <w:p w:rsidR="00184FE7" w:rsidRDefault="00184FE7" w:rsidP="00264059">
      <w:pPr>
        <w:pStyle w:val="Annexe"/>
        <w:spacing w:before="0"/>
      </w:pPr>
    </w:p>
    <w:p w:rsidR="00B6686E" w:rsidRPr="00A60E83" w:rsidRDefault="00B6686E" w:rsidP="00264059">
      <w:pPr>
        <w:pStyle w:val="Titre"/>
        <w:spacing w:after="0"/>
        <w:jc w:val="center"/>
        <w:rPr>
          <w:rFonts w:ascii="Arial" w:hAnsi="Arial" w:cs="Arial"/>
        </w:rPr>
      </w:pPr>
      <w:r w:rsidRPr="00A60E83">
        <w:rPr>
          <w:rFonts w:ascii="Arial" w:hAnsi="Arial" w:cs="Arial"/>
        </w:rPr>
        <w:t>Avis d’</w:t>
      </w:r>
      <w:r w:rsidR="00A60E83">
        <w:rPr>
          <w:rFonts w:ascii="Arial" w:hAnsi="Arial" w:cs="Arial"/>
        </w:rPr>
        <w:t>appel à candidature</w:t>
      </w:r>
    </w:p>
    <w:p w:rsidR="00B6686E" w:rsidRDefault="00B6686E" w:rsidP="00264059">
      <w:pPr>
        <w:spacing w:after="0"/>
        <w:jc w:val="center"/>
        <w:rPr>
          <w:rFonts w:ascii="Arial" w:hAnsi="Arial" w:cs="Arial"/>
          <w:sz w:val="48"/>
          <w:szCs w:val="48"/>
        </w:rPr>
      </w:pPr>
    </w:p>
    <w:p w:rsidR="00264059" w:rsidRDefault="00264059" w:rsidP="00264059">
      <w:pPr>
        <w:spacing w:after="0"/>
        <w:jc w:val="center"/>
        <w:rPr>
          <w:rFonts w:ascii="Arial" w:hAnsi="Arial" w:cs="Arial"/>
          <w:sz w:val="48"/>
          <w:szCs w:val="48"/>
        </w:rPr>
      </w:pPr>
    </w:p>
    <w:p w:rsidR="008E74D2" w:rsidRDefault="00FB7C2D" w:rsidP="00264059">
      <w:pPr>
        <w:spacing w:after="0"/>
        <w:jc w:val="center"/>
        <w:rPr>
          <w:rFonts w:ascii="Arial" w:hAnsi="Arial" w:cs="Arial"/>
          <w:sz w:val="44"/>
          <w:szCs w:val="44"/>
        </w:rPr>
      </w:pPr>
      <w:r>
        <w:rPr>
          <w:rFonts w:ascii="Arial" w:hAnsi="Arial" w:cs="Arial"/>
          <w:sz w:val="44"/>
          <w:szCs w:val="44"/>
        </w:rPr>
        <w:t>H</w:t>
      </w:r>
      <w:r w:rsidR="00B6686E" w:rsidRPr="00A60E83">
        <w:rPr>
          <w:rFonts w:ascii="Arial" w:hAnsi="Arial" w:cs="Arial"/>
          <w:sz w:val="44"/>
          <w:szCs w:val="44"/>
        </w:rPr>
        <w:t xml:space="preserve">ébergement temporaire </w:t>
      </w:r>
      <w:r w:rsidR="008E74D2">
        <w:rPr>
          <w:rFonts w:ascii="Arial" w:hAnsi="Arial" w:cs="Arial"/>
          <w:sz w:val="44"/>
          <w:szCs w:val="44"/>
        </w:rPr>
        <w:t>en EHPAD</w:t>
      </w:r>
    </w:p>
    <w:p w:rsidR="00184FE7" w:rsidRDefault="008E74D2" w:rsidP="00264059">
      <w:pPr>
        <w:spacing w:after="0"/>
        <w:jc w:val="center"/>
        <w:rPr>
          <w:rFonts w:ascii="Arial" w:hAnsi="Arial" w:cs="Arial"/>
          <w:sz w:val="44"/>
          <w:szCs w:val="44"/>
        </w:rPr>
      </w:pPr>
      <w:r>
        <w:rPr>
          <w:rFonts w:ascii="Arial" w:hAnsi="Arial" w:cs="Arial"/>
          <w:sz w:val="44"/>
          <w:szCs w:val="44"/>
        </w:rPr>
        <w:t xml:space="preserve">des </w:t>
      </w:r>
      <w:r w:rsidR="00B6686E" w:rsidRPr="00A60E83">
        <w:rPr>
          <w:rFonts w:ascii="Arial" w:hAnsi="Arial" w:cs="Arial"/>
          <w:sz w:val="44"/>
          <w:szCs w:val="44"/>
        </w:rPr>
        <w:t>personnes âgées</w:t>
      </w:r>
      <w:r>
        <w:rPr>
          <w:rFonts w:ascii="Arial" w:hAnsi="Arial" w:cs="Arial"/>
          <w:sz w:val="44"/>
          <w:szCs w:val="44"/>
        </w:rPr>
        <w:t xml:space="preserve"> en perte d’autonomie sortant d’hospitalisation.</w:t>
      </w:r>
    </w:p>
    <w:p w:rsidR="00743782" w:rsidRDefault="00743782" w:rsidP="00264059">
      <w:pPr>
        <w:spacing w:after="0"/>
        <w:jc w:val="center"/>
        <w:rPr>
          <w:rFonts w:ascii="Arial" w:hAnsi="Arial" w:cs="Arial"/>
          <w:sz w:val="44"/>
          <w:szCs w:val="44"/>
        </w:rPr>
      </w:pPr>
    </w:p>
    <w:p w:rsidR="00743782" w:rsidRDefault="00743782" w:rsidP="00264059">
      <w:pPr>
        <w:spacing w:after="0"/>
        <w:jc w:val="center"/>
        <w:rPr>
          <w:rFonts w:ascii="Arial" w:hAnsi="Arial" w:cs="Arial"/>
          <w:sz w:val="44"/>
          <w:szCs w:val="44"/>
        </w:rPr>
      </w:pPr>
    </w:p>
    <w:p w:rsidR="00264059" w:rsidRDefault="00264059" w:rsidP="00264059">
      <w:pPr>
        <w:spacing w:after="0"/>
        <w:jc w:val="center"/>
        <w:rPr>
          <w:rFonts w:ascii="Arial" w:hAnsi="Arial" w:cs="Arial"/>
          <w:sz w:val="44"/>
          <w:szCs w:val="44"/>
        </w:rPr>
      </w:pPr>
    </w:p>
    <w:p w:rsidR="00743782" w:rsidRDefault="00743782" w:rsidP="00264059">
      <w:pPr>
        <w:spacing w:after="0"/>
        <w:jc w:val="center"/>
        <w:rPr>
          <w:rFonts w:ascii="Arial" w:hAnsi="Arial" w:cs="Arial"/>
          <w:sz w:val="44"/>
          <w:szCs w:val="44"/>
        </w:rPr>
      </w:pPr>
    </w:p>
    <w:p w:rsidR="00743782" w:rsidRPr="00A60E83" w:rsidRDefault="00743782" w:rsidP="00264059">
      <w:pPr>
        <w:spacing w:after="0"/>
        <w:jc w:val="center"/>
        <w:rPr>
          <w:rFonts w:ascii="Arial" w:hAnsi="Arial" w:cs="Arial"/>
          <w:sz w:val="44"/>
          <w:szCs w:val="44"/>
        </w:rPr>
      </w:pPr>
    </w:p>
    <w:p w:rsidR="00184FE7" w:rsidRDefault="00184FE7" w:rsidP="00264059">
      <w:pPr>
        <w:spacing w:after="0"/>
        <w:jc w:val="left"/>
        <w:rPr>
          <w:rFonts w:ascii="Arial" w:hAnsi="Arial" w:cs="Arial"/>
          <w:sz w:val="48"/>
          <w:szCs w:val="48"/>
        </w:rPr>
      </w:pPr>
      <w:r>
        <w:rPr>
          <w:rFonts w:ascii="Arial" w:hAnsi="Arial" w:cs="Arial"/>
          <w:sz w:val="48"/>
          <w:szCs w:val="48"/>
        </w:rPr>
        <w:br w:type="page"/>
      </w:r>
    </w:p>
    <w:p w:rsidR="006B102B" w:rsidRPr="006B102B" w:rsidRDefault="00E772A5" w:rsidP="00264059">
      <w:pPr>
        <w:pStyle w:val="11"/>
        <w:numPr>
          <w:ilvl w:val="0"/>
          <w:numId w:val="22"/>
        </w:numPr>
        <w:pBdr>
          <w:bottom w:val="single" w:sz="4" w:space="1" w:color="auto"/>
        </w:pBdr>
        <w:spacing w:before="0" w:after="0"/>
        <w:jc w:val="left"/>
        <w:rPr>
          <w:color w:val="17365D" w:themeColor="text2" w:themeShade="BF"/>
          <w:sz w:val="22"/>
          <w:szCs w:val="22"/>
        </w:rPr>
      </w:pPr>
      <w:r>
        <w:rPr>
          <w:color w:val="17365D" w:themeColor="text2" w:themeShade="BF"/>
          <w:sz w:val="22"/>
          <w:szCs w:val="22"/>
        </w:rPr>
        <w:lastRenderedPageBreak/>
        <w:t>Contexte</w:t>
      </w:r>
      <w:r w:rsidR="006B102B" w:rsidRPr="006B102B">
        <w:rPr>
          <w:color w:val="17365D" w:themeColor="text2" w:themeShade="BF"/>
          <w:sz w:val="22"/>
          <w:szCs w:val="22"/>
        </w:rPr>
        <w:t xml:space="preserve"> de l’appel à candidature</w:t>
      </w:r>
    </w:p>
    <w:p w:rsidR="00740AA5" w:rsidRDefault="00740AA5" w:rsidP="00264059">
      <w:pPr>
        <w:pStyle w:val="11"/>
        <w:numPr>
          <w:ilvl w:val="0"/>
          <w:numId w:val="0"/>
        </w:numPr>
        <w:spacing w:before="0" w:after="0"/>
        <w:rPr>
          <w:b w:val="0"/>
        </w:rPr>
      </w:pPr>
    </w:p>
    <w:p w:rsidR="00740AA5" w:rsidRDefault="00B22298" w:rsidP="00264059">
      <w:pPr>
        <w:pStyle w:val="11"/>
        <w:numPr>
          <w:ilvl w:val="0"/>
          <w:numId w:val="0"/>
        </w:numPr>
        <w:spacing w:before="0" w:after="0"/>
        <w:rPr>
          <w:b w:val="0"/>
        </w:rPr>
      </w:pPr>
      <w:r>
        <w:rPr>
          <w:b w:val="0"/>
        </w:rPr>
        <w:t xml:space="preserve">La région Normande connait comme la plupart des régions en France une augmentation </w:t>
      </w:r>
      <w:r w:rsidR="00740AA5">
        <w:rPr>
          <w:b w:val="0"/>
        </w:rPr>
        <w:t xml:space="preserve">des plus de 75 ans, ce qui aura pour conséquence une augmentation du recours aux hospitalisations. Avec l’avancée en âge le risque de </w:t>
      </w:r>
      <w:r w:rsidR="00E772A5">
        <w:rPr>
          <w:b w:val="0"/>
        </w:rPr>
        <w:t>poly pathologie</w:t>
      </w:r>
      <w:r w:rsidR="00740AA5">
        <w:rPr>
          <w:b w:val="0"/>
        </w:rPr>
        <w:t xml:space="preserve"> augmente et le risque de perte d’</w:t>
      </w:r>
      <w:r w:rsidR="00E772A5">
        <w:rPr>
          <w:b w:val="0"/>
        </w:rPr>
        <w:t>autonomie s</w:t>
      </w:r>
      <w:r w:rsidR="00740AA5">
        <w:rPr>
          <w:b w:val="0"/>
        </w:rPr>
        <w:t>’aggrave autour de 85 ans.</w:t>
      </w:r>
    </w:p>
    <w:p w:rsidR="00740AA5" w:rsidRDefault="00740AA5" w:rsidP="00264059">
      <w:pPr>
        <w:pStyle w:val="11"/>
        <w:numPr>
          <w:ilvl w:val="0"/>
          <w:numId w:val="0"/>
        </w:numPr>
        <w:spacing w:before="0" w:after="0"/>
        <w:rPr>
          <w:b w:val="0"/>
        </w:rPr>
      </w:pPr>
    </w:p>
    <w:p w:rsidR="00B22298" w:rsidRDefault="00740AA5" w:rsidP="00264059">
      <w:pPr>
        <w:pStyle w:val="11"/>
        <w:numPr>
          <w:ilvl w:val="0"/>
          <w:numId w:val="0"/>
        </w:numPr>
        <w:spacing w:before="0" w:after="0"/>
        <w:rPr>
          <w:b w:val="0"/>
        </w:rPr>
      </w:pPr>
      <w:r>
        <w:rPr>
          <w:b w:val="0"/>
        </w:rPr>
        <w:t xml:space="preserve">Ces évolutions démographiques et épidémiologiques nécessitent de faire évoluer l’offre existante afin d’améliorer le parcours de soin et de vie de personnes âgées qui, à l’issue d’un séjour hospitalier, ont des difficultés </w:t>
      </w:r>
      <w:r w:rsidR="00E772A5">
        <w:rPr>
          <w:b w:val="0"/>
        </w:rPr>
        <w:t xml:space="preserve">à retourner </w:t>
      </w:r>
      <w:r>
        <w:rPr>
          <w:b w:val="0"/>
        </w:rPr>
        <w:t>chez elles malgré un état de santé stabilisé.</w:t>
      </w:r>
    </w:p>
    <w:p w:rsidR="00DC5C79" w:rsidRDefault="00DC5C79" w:rsidP="00264059">
      <w:pPr>
        <w:pStyle w:val="11"/>
        <w:numPr>
          <w:ilvl w:val="0"/>
          <w:numId w:val="0"/>
        </w:numPr>
        <w:spacing w:before="0" w:after="0"/>
        <w:rPr>
          <w:b w:val="0"/>
        </w:rPr>
      </w:pPr>
    </w:p>
    <w:p w:rsidR="00DC5C79" w:rsidRPr="00E772A5" w:rsidRDefault="00E772A5" w:rsidP="00264059">
      <w:pPr>
        <w:pStyle w:val="11"/>
        <w:numPr>
          <w:ilvl w:val="0"/>
          <w:numId w:val="0"/>
        </w:numPr>
        <w:spacing w:before="0" w:after="0"/>
        <w:rPr>
          <w:b w:val="0"/>
          <w:u w:val="single"/>
        </w:rPr>
      </w:pPr>
      <w:r w:rsidRPr="00E772A5">
        <w:rPr>
          <w:b w:val="0"/>
          <w:u w:val="single"/>
        </w:rPr>
        <w:t xml:space="preserve">Enjeux </w:t>
      </w:r>
      <w:r w:rsidR="00740AA5" w:rsidRPr="00E772A5">
        <w:rPr>
          <w:b w:val="0"/>
          <w:u w:val="single"/>
        </w:rPr>
        <w:t>PRS</w:t>
      </w:r>
      <w:r w:rsidR="00DC5C79" w:rsidRPr="00E772A5">
        <w:rPr>
          <w:b w:val="0"/>
          <w:u w:val="single"/>
        </w:rPr>
        <w:t xml:space="preserve"> : </w:t>
      </w:r>
    </w:p>
    <w:p w:rsidR="00435437" w:rsidRPr="00E772A5" w:rsidRDefault="00435437" w:rsidP="00264059">
      <w:pPr>
        <w:pStyle w:val="11"/>
        <w:numPr>
          <w:ilvl w:val="0"/>
          <w:numId w:val="0"/>
        </w:numPr>
        <w:spacing w:before="0" w:after="0"/>
        <w:rPr>
          <w:b w:val="0"/>
        </w:rPr>
      </w:pPr>
    </w:p>
    <w:p w:rsidR="00E400B0" w:rsidRPr="00E772A5" w:rsidRDefault="00E400B0" w:rsidP="00264059">
      <w:pPr>
        <w:pStyle w:val="11"/>
        <w:numPr>
          <w:ilvl w:val="0"/>
          <w:numId w:val="0"/>
        </w:numPr>
        <w:spacing w:before="0" w:after="0"/>
        <w:rPr>
          <w:b w:val="0"/>
        </w:rPr>
      </w:pPr>
      <w:r w:rsidRPr="00E772A5">
        <w:rPr>
          <w:b w:val="0"/>
        </w:rPr>
        <w:t>Objectif n°16 du PRS : garantir à l’usager l’accès à une offre de services en santé de proximité à chaque étape de son parcours de vie, tout en conciliant qualité et sécurité.</w:t>
      </w:r>
    </w:p>
    <w:p w:rsidR="00E400B0" w:rsidRPr="00E772A5" w:rsidRDefault="00E400B0" w:rsidP="00264059">
      <w:pPr>
        <w:pStyle w:val="11"/>
        <w:numPr>
          <w:ilvl w:val="0"/>
          <w:numId w:val="0"/>
        </w:numPr>
        <w:spacing w:before="0" w:after="0"/>
        <w:rPr>
          <w:b w:val="0"/>
        </w:rPr>
      </w:pPr>
    </w:p>
    <w:p w:rsidR="00E400B0" w:rsidRPr="00E772A5" w:rsidRDefault="00E400B0" w:rsidP="00264059">
      <w:pPr>
        <w:pStyle w:val="11"/>
        <w:numPr>
          <w:ilvl w:val="0"/>
          <w:numId w:val="0"/>
        </w:numPr>
        <w:spacing w:before="0" w:after="0"/>
        <w:rPr>
          <w:b w:val="0"/>
        </w:rPr>
      </w:pPr>
      <w:r w:rsidRPr="00E772A5">
        <w:rPr>
          <w:b w:val="0"/>
        </w:rPr>
        <w:t>Objectif n°31 du PRS : garantir la fluidité des parcours par la transformation</w:t>
      </w:r>
      <w:r w:rsidR="007C51E1">
        <w:rPr>
          <w:b w:val="0"/>
        </w:rPr>
        <w:t xml:space="preserve"> de l’offre.</w:t>
      </w:r>
    </w:p>
    <w:p w:rsidR="00E400B0" w:rsidRPr="00E772A5" w:rsidRDefault="00E400B0" w:rsidP="00264059">
      <w:pPr>
        <w:pStyle w:val="11"/>
        <w:numPr>
          <w:ilvl w:val="0"/>
          <w:numId w:val="0"/>
        </w:numPr>
        <w:spacing w:before="0" w:after="0"/>
        <w:rPr>
          <w:b w:val="0"/>
        </w:rPr>
      </w:pPr>
    </w:p>
    <w:p w:rsidR="00E400B0" w:rsidRPr="00E772A5" w:rsidRDefault="00E400B0" w:rsidP="00264059">
      <w:pPr>
        <w:pStyle w:val="11"/>
        <w:numPr>
          <w:ilvl w:val="0"/>
          <w:numId w:val="0"/>
        </w:numPr>
        <w:spacing w:before="0" w:after="0"/>
        <w:rPr>
          <w:b w:val="0"/>
        </w:rPr>
      </w:pPr>
      <w:r w:rsidRPr="00E772A5">
        <w:rPr>
          <w:b w:val="0"/>
        </w:rPr>
        <w:t>Objectif n°32 du PRS : assurer la fluidité des parcours par des modalités d’intervention coordonnées des acteurs</w:t>
      </w:r>
    </w:p>
    <w:p w:rsidR="00740AA5" w:rsidRPr="00E772A5" w:rsidRDefault="00740AA5" w:rsidP="00264059">
      <w:pPr>
        <w:pStyle w:val="11"/>
        <w:numPr>
          <w:ilvl w:val="0"/>
          <w:numId w:val="0"/>
        </w:numPr>
        <w:spacing w:before="0" w:after="0"/>
        <w:rPr>
          <w:b w:val="0"/>
        </w:rPr>
      </w:pPr>
    </w:p>
    <w:p w:rsidR="00E772A5" w:rsidRPr="00E772A5" w:rsidRDefault="00E772A5" w:rsidP="00E772A5">
      <w:pPr>
        <w:pStyle w:val="11"/>
        <w:numPr>
          <w:ilvl w:val="0"/>
          <w:numId w:val="0"/>
        </w:numPr>
        <w:spacing w:before="0" w:after="0"/>
        <w:rPr>
          <w:b w:val="0"/>
          <w:u w:val="single"/>
        </w:rPr>
      </w:pPr>
      <w:r w:rsidRPr="00E772A5">
        <w:rPr>
          <w:b w:val="0"/>
          <w:u w:val="single"/>
        </w:rPr>
        <w:t xml:space="preserve">Enjeux schémas départementaux : </w:t>
      </w:r>
    </w:p>
    <w:p w:rsidR="00740AA5" w:rsidRPr="00E772A5" w:rsidRDefault="00E772A5" w:rsidP="00264059">
      <w:pPr>
        <w:pStyle w:val="11"/>
        <w:numPr>
          <w:ilvl w:val="0"/>
          <w:numId w:val="0"/>
        </w:numPr>
        <w:spacing w:before="0" w:after="0"/>
        <w:rPr>
          <w:b w:val="0"/>
        </w:rPr>
      </w:pPr>
      <w:r w:rsidRPr="00E772A5">
        <w:rPr>
          <w:b w:val="0"/>
        </w:rPr>
        <w:t>Favoriser</w:t>
      </w:r>
      <w:r w:rsidR="00740AA5" w:rsidRPr="00E772A5">
        <w:rPr>
          <w:b w:val="0"/>
        </w:rPr>
        <w:t xml:space="preserve"> le maintien à domicile </w:t>
      </w:r>
      <w:r w:rsidRPr="00E772A5">
        <w:rPr>
          <w:b w:val="0"/>
        </w:rPr>
        <w:t>et les actions de prévention</w:t>
      </w:r>
    </w:p>
    <w:p w:rsidR="00DC5C79" w:rsidRDefault="00DC5C79" w:rsidP="00264059">
      <w:pPr>
        <w:pStyle w:val="11"/>
        <w:numPr>
          <w:ilvl w:val="0"/>
          <w:numId w:val="0"/>
        </w:numPr>
        <w:spacing w:before="0" w:after="0"/>
        <w:rPr>
          <w:b w:val="0"/>
        </w:rPr>
      </w:pPr>
    </w:p>
    <w:p w:rsidR="00C972AF" w:rsidRDefault="00C972AF" w:rsidP="00264059">
      <w:pPr>
        <w:pStyle w:val="11"/>
        <w:numPr>
          <w:ilvl w:val="0"/>
          <w:numId w:val="0"/>
        </w:numPr>
        <w:spacing w:before="0" w:after="0"/>
        <w:rPr>
          <w:b w:val="0"/>
        </w:rPr>
      </w:pPr>
    </w:p>
    <w:p w:rsidR="006B102B" w:rsidRPr="006B102B" w:rsidRDefault="00035793" w:rsidP="00264059">
      <w:pPr>
        <w:pStyle w:val="11"/>
        <w:numPr>
          <w:ilvl w:val="0"/>
          <w:numId w:val="22"/>
        </w:numPr>
        <w:pBdr>
          <w:bottom w:val="single" w:sz="4" w:space="1" w:color="auto"/>
        </w:pBdr>
        <w:spacing w:before="0" w:after="0"/>
        <w:jc w:val="left"/>
        <w:rPr>
          <w:color w:val="17365D" w:themeColor="text2" w:themeShade="BF"/>
          <w:sz w:val="22"/>
          <w:szCs w:val="22"/>
        </w:rPr>
      </w:pPr>
      <w:r>
        <w:rPr>
          <w:color w:val="17365D" w:themeColor="text2" w:themeShade="BF"/>
          <w:sz w:val="22"/>
          <w:szCs w:val="22"/>
        </w:rPr>
        <w:t>Finalité</w:t>
      </w:r>
      <w:r w:rsidR="006B102B">
        <w:rPr>
          <w:color w:val="17365D" w:themeColor="text2" w:themeShade="BF"/>
          <w:sz w:val="22"/>
          <w:szCs w:val="22"/>
        </w:rPr>
        <w:t xml:space="preserve"> de l’appel à candidatures</w:t>
      </w:r>
    </w:p>
    <w:p w:rsidR="00B241D8" w:rsidRDefault="00B241D8" w:rsidP="00264059">
      <w:pPr>
        <w:pStyle w:val="11"/>
        <w:numPr>
          <w:ilvl w:val="0"/>
          <w:numId w:val="0"/>
        </w:numPr>
        <w:spacing w:before="0" w:after="0"/>
        <w:rPr>
          <w:b w:val="0"/>
        </w:rPr>
      </w:pPr>
    </w:p>
    <w:p w:rsidR="00970311" w:rsidRDefault="00970311" w:rsidP="00264059">
      <w:pPr>
        <w:pStyle w:val="11"/>
        <w:numPr>
          <w:ilvl w:val="0"/>
          <w:numId w:val="0"/>
        </w:numPr>
        <w:spacing w:before="0" w:after="0"/>
        <w:rPr>
          <w:b w:val="0"/>
        </w:rPr>
      </w:pPr>
      <w:r>
        <w:rPr>
          <w:b w:val="0"/>
        </w:rPr>
        <w:t>Le dispositif d’hébergement temporaire en sortie d’hospitalisation consiste à proposer aux personnes âgées en perte d’autonomie sortant des urgences ou d’hospitalisation, un hébergement temporaire d’une durée maximale de 30 jours dont le projet est le retour à domicile.</w:t>
      </w:r>
    </w:p>
    <w:p w:rsidR="00970311" w:rsidRDefault="00970311" w:rsidP="00264059">
      <w:pPr>
        <w:pStyle w:val="11"/>
        <w:numPr>
          <w:ilvl w:val="0"/>
          <w:numId w:val="0"/>
        </w:numPr>
        <w:spacing w:before="0" w:after="0"/>
        <w:rPr>
          <w:b w:val="0"/>
        </w:rPr>
      </w:pPr>
    </w:p>
    <w:p w:rsidR="00A655BC" w:rsidRDefault="00297662" w:rsidP="00264059">
      <w:pPr>
        <w:pStyle w:val="11"/>
        <w:numPr>
          <w:ilvl w:val="0"/>
          <w:numId w:val="0"/>
        </w:numPr>
        <w:spacing w:before="0" w:after="0"/>
      </w:pPr>
      <w:r w:rsidRPr="00297662">
        <w:rPr>
          <w:b w:val="0"/>
        </w:rPr>
        <w:t>Le présent appel à candidatures vise à retenir plusieurs opérateurs</w:t>
      </w:r>
      <w:r>
        <w:rPr>
          <w:b w:val="0"/>
        </w:rPr>
        <w:t xml:space="preserve"> médico-sociaux ayant déjà une autorisation de places d’hébergement temporaire en EHPAD. </w:t>
      </w:r>
      <w:r w:rsidRPr="00C46DBC">
        <w:t xml:space="preserve">Les EHPAD candidats devront en effet transformer des places existantes </w:t>
      </w:r>
      <w:r w:rsidR="00883239" w:rsidRPr="00C46DBC">
        <w:t xml:space="preserve">d’hébergement temporaire ou permanent </w:t>
      </w:r>
      <w:r w:rsidR="001B3AA3">
        <w:t xml:space="preserve">(en tout ou partie) </w:t>
      </w:r>
      <w:r w:rsidR="001B3AA3" w:rsidRPr="000D0F45">
        <w:t>en hébergement temporaire de sortie d’hospitalisation</w:t>
      </w:r>
      <w:r w:rsidR="00FD6EBF">
        <w:t xml:space="preserve"> (HTSH)</w:t>
      </w:r>
      <w:r w:rsidR="001B3AA3" w:rsidRPr="000D0F45">
        <w:t>.</w:t>
      </w:r>
      <w:r w:rsidR="00C5407E">
        <w:t xml:space="preserve"> Il ne s’agit donc pas de créer des nouvelles places.</w:t>
      </w:r>
      <w:r w:rsidR="00A655BC">
        <w:t xml:space="preserve">  </w:t>
      </w:r>
    </w:p>
    <w:p w:rsidR="00A655BC" w:rsidRDefault="00A655BC" w:rsidP="00264059">
      <w:pPr>
        <w:pStyle w:val="11"/>
        <w:numPr>
          <w:ilvl w:val="0"/>
          <w:numId w:val="0"/>
        </w:numPr>
        <w:spacing w:before="0" w:after="0"/>
      </w:pPr>
    </w:p>
    <w:p w:rsidR="00A60E83" w:rsidRPr="00C46DBC" w:rsidRDefault="00A655BC" w:rsidP="00264059">
      <w:pPr>
        <w:pStyle w:val="11"/>
        <w:numPr>
          <w:ilvl w:val="0"/>
          <w:numId w:val="0"/>
        </w:numPr>
        <w:spacing w:before="0" w:after="0"/>
      </w:pPr>
      <w:r w:rsidRPr="00A655BC">
        <w:rPr>
          <w:b w:val="0"/>
        </w:rPr>
        <w:t>Toute</w:t>
      </w:r>
      <w:r>
        <w:t xml:space="preserve"> </w:t>
      </w:r>
      <w:r w:rsidRPr="00A655BC">
        <w:rPr>
          <w:b w:val="0"/>
        </w:rPr>
        <w:t>transformation</w:t>
      </w:r>
      <w:r>
        <w:rPr>
          <w:b w:val="0"/>
        </w:rPr>
        <w:t xml:space="preserve"> de places d’hébergement permanent fera l’objet d’une instruction commune avec le Conseil départemental</w:t>
      </w:r>
      <w:bookmarkStart w:id="0" w:name="_GoBack"/>
      <w:bookmarkEnd w:id="0"/>
      <w:r>
        <w:rPr>
          <w:b w:val="0"/>
        </w:rPr>
        <w:t xml:space="preserve"> correspondant.</w:t>
      </w:r>
    </w:p>
    <w:p w:rsidR="006B102B" w:rsidRDefault="006B102B" w:rsidP="00264059">
      <w:pPr>
        <w:pStyle w:val="11"/>
        <w:numPr>
          <w:ilvl w:val="0"/>
          <w:numId w:val="0"/>
        </w:numPr>
        <w:spacing w:before="0" w:after="0"/>
        <w:rPr>
          <w:b w:val="0"/>
        </w:rPr>
      </w:pPr>
    </w:p>
    <w:p w:rsidR="00297662" w:rsidRDefault="00297662" w:rsidP="00264059">
      <w:pPr>
        <w:pStyle w:val="11"/>
        <w:numPr>
          <w:ilvl w:val="0"/>
          <w:numId w:val="0"/>
        </w:numPr>
        <w:spacing w:before="0" w:after="0"/>
        <w:rPr>
          <w:b w:val="0"/>
        </w:rPr>
      </w:pPr>
      <w:r>
        <w:rPr>
          <w:b w:val="0"/>
        </w:rPr>
        <w:t>Le lancement de cette expérimentation a pour objectifs :</w:t>
      </w:r>
    </w:p>
    <w:p w:rsidR="006B102B" w:rsidRDefault="006B102B" w:rsidP="00264059">
      <w:pPr>
        <w:pStyle w:val="11"/>
        <w:numPr>
          <w:ilvl w:val="0"/>
          <w:numId w:val="0"/>
        </w:numPr>
        <w:spacing w:before="0" w:after="0"/>
        <w:rPr>
          <w:b w:val="0"/>
        </w:rPr>
      </w:pPr>
    </w:p>
    <w:p w:rsidR="00297662" w:rsidRDefault="00297662" w:rsidP="00264059">
      <w:pPr>
        <w:pStyle w:val="11"/>
        <w:numPr>
          <w:ilvl w:val="0"/>
          <w:numId w:val="20"/>
        </w:numPr>
        <w:spacing w:before="0" w:after="0"/>
        <w:rPr>
          <w:b w:val="0"/>
        </w:rPr>
      </w:pPr>
      <w:r>
        <w:rPr>
          <w:b w:val="0"/>
        </w:rPr>
        <w:t>de répondre à toute demande de sortie d’hôpital si le retour à domicile est difficile ou impossible dans l’immédiat,</w:t>
      </w:r>
    </w:p>
    <w:p w:rsidR="00297662" w:rsidRDefault="00297662" w:rsidP="00264059">
      <w:pPr>
        <w:pStyle w:val="11"/>
        <w:numPr>
          <w:ilvl w:val="0"/>
          <w:numId w:val="20"/>
        </w:numPr>
        <w:spacing w:before="0" w:after="0"/>
        <w:rPr>
          <w:b w:val="0"/>
        </w:rPr>
      </w:pPr>
      <w:r>
        <w:rPr>
          <w:b w:val="0"/>
        </w:rPr>
        <w:t>de réduire la durée d’hospitalisation des personnes âgées dont les séjours trop prolongés dans le secteur hospitalier ont des effets délétères,</w:t>
      </w:r>
    </w:p>
    <w:p w:rsidR="00297662" w:rsidRDefault="00297662" w:rsidP="00264059">
      <w:pPr>
        <w:pStyle w:val="11"/>
        <w:numPr>
          <w:ilvl w:val="0"/>
          <w:numId w:val="20"/>
        </w:numPr>
        <w:spacing w:before="0" w:after="0"/>
        <w:rPr>
          <w:b w:val="0"/>
        </w:rPr>
      </w:pPr>
      <w:r>
        <w:rPr>
          <w:b w:val="0"/>
        </w:rPr>
        <w:t>de démontrer la pertinence d’une prise en charge médico-sociale tournée vers le retour à domicile, avec un volume de places dédiées suffisant et une équipe spécialisée et renforcée,</w:t>
      </w:r>
    </w:p>
    <w:p w:rsidR="00297662" w:rsidRDefault="00297662" w:rsidP="00264059">
      <w:pPr>
        <w:pStyle w:val="11"/>
        <w:numPr>
          <w:ilvl w:val="0"/>
          <w:numId w:val="20"/>
        </w:numPr>
        <w:spacing w:before="0" w:after="0"/>
        <w:rPr>
          <w:b w:val="0"/>
        </w:rPr>
      </w:pPr>
      <w:r>
        <w:rPr>
          <w:b w:val="0"/>
        </w:rPr>
        <w:t>de lever le frein du reste à charge pour l’usager dans le secteur médico-social.</w:t>
      </w:r>
    </w:p>
    <w:p w:rsidR="00297662" w:rsidRDefault="00297662" w:rsidP="00264059">
      <w:pPr>
        <w:pStyle w:val="11"/>
        <w:numPr>
          <w:ilvl w:val="0"/>
          <w:numId w:val="0"/>
        </w:numPr>
        <w:spacing w:before="0" w:after="0"/>
        <w:ind w:left="792" w:hanging="432"/>
        <w:rPr>
          <w:b w:val="0"/>
        </w:rPr>
      </w:pPr>
    </w:p>
    <w:p w:rsidR="00297662" w:rsidRDefault="00297662" w:rsidP="00264059">
      <w:pPr>
        <w:pStyle w:val="11"/>
        <w:numPr>
          <w:ilvl w:val="0"/>
          <w:numId w:val="0"/>
        </w:numPr>
        <w:spacing w:before="0" w:after="0"/>
        <w:ind w:left="432" w:hanging="432"/>
        <w:rPr>
          <w:b w:val="0"/>
        </w:rPr>
      </w:pPr>
      <w:r>
        <w:rPr>
          <w:b w:val="0"/>
        </w:rPr>
        <w:t>L’EHPAD candidat devra s’assurer, en lien étroit avec les structures hospitalières :</w:t>
      </w:r>
    </w:p>
    <w:p w:rsidR="006B102B" w:rsidRDefault="006B102B" w:rsidP="00264059">
      <w:pPr>
        <w:pStyle w:val="11"/>
        <w:numPr>
          <w:ilvl w:val="0"/>
          <w:numId w:val="0"/>
        </w:numPr>
        <w:spacing w:before="0" w:after="0"/>
        <w:ind w:left="432" w:hanging="432"/>
        <w:rPr>
          <w:b w:val="0"/>
        </w:rPr>
      </w:pPr>
    </w:p>
    <w:p w:rsidR="006B102B" w:rsidRDefault="006B102B" w:rsidP="00264059">
      <w:pPr>
        <w:pStyle w:val="11"/>
        <w:numPr>
          <w:ilvl w:val="0"/>
          <w:numId w:val="21"/>
        </w:numPr>
        <w:spacing w:before="0" w:after="0"/>
        <w:rPr>
          <w:b w:val="0"/>
        </w:rPr>
      </w:pPr>
      <w:r>
        <w:rPr>
          <w:b w:val="0"/>
        </w:rPr>
        <w:t>de l’état de santé compatible à la sortie de l’hôpital vers l’hébergement temporaire médico-social, dans le cas où le retour à domicile ou le maintien en SSR ne sont pas indiqués,</w:t>
      </w:r>
    </w:p>
    <w:p w:rsidR="006B102B" w:rsidRDefault="006B102B" w:rsidP="00264059">
      <w:pPr>
        <w:pStyle w:val="11"/>
        <w:numPr>
          <w:ilvl w:val="0"/>
          <w:numId w:val="21"/>
        </w:numPr>
        <w:spacing w:before="0" w:after="0"/>
        <w:rPr>
          <w:b w:val="0"/>
        </w:rPr>
      </w:pPr>
      <w:r>
        <w:rPr>
          <w:b w:val="0"/>
        </w:rPr>
        <w:lastRenderedPageBreak/>
        <w:t>d’un projet de retour à domicile ou vers un substitut de domicile des usagers,</w:t>
      </w:r>
    </w:p>
    <w:p w:rsidR="006B102B" w:rsidRDefault="006B102B" w:rsidP="00264059">
      <w:pPr>
        <w:pStyle w:val="11"/>
        <w:numPr>
          <w:ilvl w:val="0"/>
          <w:numId w:val="21"/>
        </w:numPr>
        <w:spacing w:before="0" w:after="0"/>
        <w:rPr>
          <w:b w:val="0"/>
        </w:rPr>
      </w:pPr>
      <w:r>
        <w:rPr>
          <w:b w:val="0"/>
        </w:rPr>
        <w:t>d’un appui hospitalier, notamment via l’identification d’un référent, pour assurer un suivi conjoint hôpital/EHPAD des patients accueillis,</w:t>
      </w:r>
    </w:p>
    <w:p w:rsidR="006B102B" w:rsidRDefault="006B102B" w:rsidP="00264059">
      <w:pPr>
        <w:pStyle w:val="11"/>
        <w:numPr>
          <w:ilvl w:val="0"/>
          <w:numId w:val="21"/>
        </w:numPr>
        <w:spacing w:before="0" w:after="0"/>
        <w:rPr>
          <w:b w:val="0"/>
        </w:rPr>
      </w:pPr>
      <w:r>
        <w:rPr>
          <w:b w:val="0"/>
        </w:rPr>
        <w:t>d’une possibilité de ré-hospitalisation en cas de nécessité.</w:t>
      </w:r>
    </w:p>
    <w:p w:rsidR="006B102B" w:rsidRDefault="006B102B" w:rsidP="00264059">
      <w:pPr>
        <w:pStyle w:val="11"/>
        <w:numPr>
          <w:ilvl w:val="0"/>
          <w:numId w:val="0"/>
        </w:numPr>
        <w:spacing w:before="0" w:after="0"/>
        <w:rPr>
          <w:b w:val="0"/>
        </w:rPr>
      </w:pPr>
    </w:p>
    <w:p w:rsidR="006B102B" w:rsidRDefault="00BA605E" w:rsidP="00264059">
      <w:pPr>
        <w:pStyle w:val="11"/>
        <w:numPr>
          <w:ilvl w:val="0"/>
          <w:numId w:val="0"/>
        </w:numPr>
        <w:spacing w:before="0" w:after="0"/>
        <w:rPr>
          <w:b w:val="0"/>
        </w:rPr>
      </w:pPr>
      <w:r>
        <w:rPr>
          <w:b w:val="0"/>
        </w:rPr>
        <w:t xml:space="preserve">Ce dispositif </w:t>
      </w:r>
      <w:r w:rsidR="006B102B">
        <w:rPr>
          <w:b w:val="0"/>
        </w:rPr>
        <w:t>se différencie de l’hébergement temporaire « classique » par le délai de prise en charge, le mode de financement et les conditions d’admission protocolisées avec les établ</w:t>
      </w:r>
      <w:r w:rsidR="007C51E1">
        <w:rPr>
          <w:b w:val="0"/>
        </w:rPr>
        <w:t>issements de santé partenaires.</w:t>
      </w:r>
    </w:p>
    <w:p w:rsidR="00BA605E" w:rsidRDefault="00BA605E" w:rsidP="00264059">
      <w:pPr>
        <w:pStyle w:val="11"/>
        <w:numPr>
          <w:ilvl w:val="0"/>
          <w:numId w:val="0"/>
        </w:numPr>
        <w:spacing w:before="0" w:after="0"/>
        <w:rPr>
          <w:b w:val="0"/>
        </w:rPr>
      </w:pPr>
    </w:p>
    <w:p w:rsidR="00BA605E" w:rsidRDefault="00BA605E" w:rsidP="00BA605E">
      <w:pPr>
        <w:pStyle w:val="11"/>
        <w:numPr>
          <w:ilvl w:val="0"/>
          <w:numId w:val="0"/>
        </w:numPr>
        <w:spacing w:before="0" w:after="0"/>
        <w:rPr>
          <w:b w:val="0"/>
        </w:rPr>
      </w:pPr>
      <w:r>
        <w:rPr>
          <w:b w:val="0"/>
        </w:rPr>
        <w:t>Les médecins traitants des personnes âgées prises en charge devront être i</w:t>
      </w:r>
      <w:r w:rsidR="007C51E1">
        <w:rPr>
          <w:b w:val="0"/>
        </w:rPr>
        <w:t>nformés pour favoriser le retour à domicile.</w:t>
      </w:r>
    </w:p>
    <w:p w:rsidR="006B102B" w:rsidRDefault="006B102B" w:rsidP="00264059">
      <w:pPr>
        <w:pStyle w:val="11"/>
        <w:numPr>
          <w:ilvl w:val="0"/>
          <w:numId w:val="0"/>
        </w:numPr>
        <w:spacing w:before="0" w:after="0"/>
        <w:rPr>
          <w:b w:val="0"/>
        </w:rPr>
      </w:pPr>
    </w:p>
    <w:p w:rsidR="006B102B" w:rsidRDefault="006B102B" w:rsidP="00264059">
      <w:pPr>
        <w:pStyle w:val="11"/>
        <w:numPr>
          <w:ilvl w:val="0"/>
          <w:numId w:val="0"/>
        </w:numPr>
        <w:spacing w:before="0" w:after="0"/>
        <w:rPr>
          <w:b w:val="0"/>
        </w:rPr>
      </w:pPr>
      <w:r>
        <w:rPr>
          <w:b w:val="0"/>
        </w:rPr>
        <w:t>Une implication de l’ensemble de l’équipe de l’EHPAD candidat devra être recherchée, en particulier celles de l’infirmier et du médecin coordonnateur.</w:t>
      </w:r>
    </w:p>
    <w:p w:rsidR="00264059" w:rsidRDefault="00264059" w:rsidP="00264059">
      <w:pPr>
        <w:pStyle w:val="11"/>
        <w:numPr>
          <w:ilvl w:val="0"/>
          <w:numId w:val="0"/>
        </w:numPr>
        <w:spacing w:before="0" w:after="0"/>
        <w:rPr>
          <w:b w:val="0"/>
        </w:rPr>
      </w:pPr>
    </w:p>
    <w:p w:rsidR="00870590" w:rsidRDefault="00870590" w:rsidP="00264059">
      <w:pPr>
        <w:pStyle w:val="11"/>
        <w:numPr>
          <w:ilvl w:val="0"/>
          <w:numId w:val="0"/>
        </w:numPr>
        <w:spacing w:before="0" w:after="0"/>
        <w:rPr>
          <w:b w:val="0"/>
        </w:rPr>
      </w:pPr>
    </w:p>
    <w:p w:rsidR="00870590" w:rsidRPr="006B102B" w:rsidRDefault="00870590" w:rsidP="00264059">
      <w:pPr>
        <w:pStyle w:val="11"/>
        <w:numPr>
          <w:ilvl w:val="0"/>
          <w:numId w:val="22"/>
        </w:numPr>
        <w:pBdr>
          <w:bottom w:val="single" w:sz="4" w:space="1" w:color="auto"/>
        </w:pBdr>
        <w:spacing w:before="0" w:after="0"/>
        <w:jc w:val="left"/>
        <w:rPr>
          <w:color w:val="17365D" w:themeColor="text2" w:themeShade="BF"/>
          <w:sz w:val="22"/>
          <w:szCs w:val="22"/>
        </w:rPr>
      </w:pPr>
      <w:r>
        <w:rPr>
          <w:color w:val="17365D" w:themeColor="text2" w:themeShade="BF"/>
          <w:sz w:val="22"/>
          <w:szCs w:val="22"/>
        </w:rPr>
        <w:t xml:space="preserve">Modalités de mise en </w:t>
      </w:r>
      <w:r w:rsidR="00CF692D">
        <w:rPr>
          <w:color w:val="17365D" w:themeColor="text2" w:themeShade="BF"/>
          <w:sz w:val="22"/>
          <w:szCs w:val="22"/>
        </w:rPr>
        <w:t>œuvre</w:t>
      </w:r>
    </w:p>
    <w:p w:rsidR="00870590" w:rsidRDefault="00870590" w:rsidP="00264059">
      <w:pPr>
        <w:pStyle w:val="11"/>
        <w:numPr>
          <w:ilvl w:val="0"/>
          <w:numId w:val="0"/>
        </w:numPr>
        <w:spacing w:before="0" w:after="0"/>
        <w:rPr>
          <w:b w:val="0"/>
        </w:rPr>
      </w:pPr>
    </w:p>
    <w:p w:rsidR="00CF692D" w:rsidRDefault="00CF692D" w:rsidP="00264059">
      <w:pPr>
        <w:pStyle w:val="11"/>
        <w:numPr>
          <w:ilvl w:val="0"/>
          <w:numId w:val="0"/>
        </w:numPr>
        <w:spacing w:before="0" w:after="0"/>
        <w:rPr>
          <w:b w:val="0"/>
        </w:rPr>
      </w:pPr>
      <w:r>
        <w:rPr>
          <w:b w:val="0"/>
        </w:rPr>
        <w:t>Le prése</w:t>
      </w:r>
      <w:r w:rsidR="007C51E1">
        <w:rPr>
          <w:b w:val="0"/>
        </w:rPr>
        <w:t xml:space="preserve">nt appel à candidatures est lancé </w:t>
      </w:r>
      <w:r w:rsidR="007744AD">
        <w:rPr>
          <w:b w:val="0"/>
        </w:rPr>
        <w:t>à l’échelle de la Normandie.</w:t>
      </w:r>
    </w:p>
    <w:p w:rsidR="00CF692D" w:rsidRDefault="00CF692D" w:rsidP="00264059">
      <w:pPr>
        <w:pStyle w:val="11"/>
        <w:numPr>
          <w:ilvl w:val="0"/>
          <w:numId w:val="0"/>
        </w:numPr>
        <w:spacing w:before="0" w:after="0"/>
        <w:rPr>
          <w:b w:val="0"/>
        </w:rPr>
      </w:pPr>
    </w:p>
    <w:p w:rsidR="00BA605E" w:rsidRDefault="00CF692D" w:rsidP="00264059">
      <w:pPr>
        <w:pStyle w:val="11"/>
        <w:numPr>
          <w:ilvl w:val="0"/>
          <w:numId w:val="0"/>
        </w:numPr>
        <w:spacing w:before="0" w:after="0"/>
        <w:rPr>
          <w:b w:val="0"/>
        </w:rPr>
      </w:pPr>
      <w:r>
        <w:rPr>
          <w:b w:val="0"/>
        </w:rPr>
        <w:t xml:space="preserve">La capacité en places d’hébergement temporaire en EHPAD visée </w:t>
      </w:r>
      <w:r w:rsidRPr="00CF692D">
        <w:rPr>
          <w:b w:val="0"/>
          <w:u w:val="single"/>
        </w:rPr>
        <w:t>ne</w:t>
      </w:r>
      <w:r w:rsidR="00BA605E">
        <w:rPr>
          <w:b w:val="0"/>
          <w:u w:val="single"/>
        </w:rPr>
        <w:t xml:space="preserve"> pourra pas être inférieure à </w:t>
      </w:r>
      <w:r w:rsidR="007C51E1">
        <w:rPr>
          <w:b w:val="0"/>
          <w:u w:val="single"/>
        </w:rPr>
        <w:t xml:space="preserve">5 </w:t>
      </w:r>
      <w:r w:rsidRPr="00CF692D">
        <w:rPr>
          <w:b w:val="0"/>
          <w:u w:val="single"/>
        </w:rPr>
        <w:t>places</w:t>
      </w:r>
      <w:r w:rsidRPr="00883239">
        <w:rPr>
          <w:b w:val="0"/>
        </w:rPr>
        <w:t xml:space="preserve"> </w:t>
      </w:r>
      <w:r w:rsidR="00BA605E">
        <w:rPr>
          <w:b w:val="0"/>
        </w:rPr>
        <w:t xml:space="preserve">sur un </w:t>
      </w:r>
      <w:r>
        <w:rPr>
          <w:b w:val="0"/>
        </w:rPr>
        <w:t xml:space="preserve">site </w:t>
      </w:r>
      <w:r w:rsidR="00BA605E">
        <w:rPr>
          <w:b w:val="0"/>
        </w:rPr>
        <w:t>ou plusieurs sites</w:t>
      </w:r>
      <w:r w:rsidR="00883239">
        <w:rPr>
          <w:b w:val="0"/>
        </w:rPr>
        <w:t xml:space="preserve">, sous réserve </w:t>
      </w:r>
      <w:r w:rsidR="00BA605E">
        <w:rPr>
          <w:b w:val="0"/>
        </w:rPr>
        <w:t xml:space="preserve">d’une organisation territoriale entre ces établissements.  </w:t>
      </w:r>
    </w:p>
    <w:p w:rsidR="00CF692D" w:rsidRDefault="00CF692D" w:rsidP="00264059">
      <w:pPr>
        <w:pStyle w:val="11"/>
        <w:numPr>
          <w:ilvl w:val="0"/>
          <w:numId w:val="0"/>
        </w:numPr>
        <w:spacing w:before="0" w:after="0"/>
        <w:rPr>
          <w:b w:val="0"/>
        </w:rPr>
      </w:pPr>
    </w:p>
    <w:p w:rsidR="00CF692D" w:rsidRDefault="00CF692D" w:rsidP="00264059">
      <w:pPr>
        <w:pStyle w:val="11"/>
        <w:numPr>
          <w:ilvl w:val="0"/>
          <w:numId w:val="0"/>
        </w:numPr>
        <w:spacing w:before="0" w:after="0"/>
        <w:rPr>
          <w:b w:val="0"/>
        </w:rPr>
      </w:pPr>
      <w:r>
        <w:rPr>
          <w:b w:val="0"/>
        </w:rPr>
        <w:t>Le calendrier prévisionnel de lancement de l’activité devra être précisé. En tout état de cause, en raison d’une recherche d’opérationnalité rapide de ce projet, l’action devra se réaliser dans un délai de trois mois suivant la date d’a</w:t>
      </w:r>
      <w:r w:rsidR="00883239">
        <w:rPr>
          <w:b w:val="0"/>
        </w:rPr>
        <w:t>utorisation</w:t>
      </w:r>
      <w:r>
        <w:rPr>
          <w:b w:val="0"/>
        </w:rPr>
        <w:t>.</w:t>
      </w:r>
    </w:p>
    <w:p w:rsidR="00202414" w:rsidRDefault="00202414" w:rsidP="00264059">
      <w:pPr>
        <w:pStyle w:val="11"/>
        <w:numPr>
          <w:ilvl w:val="0"/>
          <w:numId w:val="0"/>
        </w:numPr>
        <w:spacing w:before="0" w:after="0"/>
        <w:rPr>
          <w:b w:val="0"/>
        </w:rPr>
      </w:pPr>
    </w:p>
    <w:p w:rsidR="00CF692D" w:rsidRDefault="00CF692D" w:rsidP="00264059">
      <w:pPr>
        <w:pStyle w:val="11"/>
        <w:numPr>
          <w:ilvl w:val="0"/>
          <w:numId w:val="0"/>
        </w:numPr>
        <w:spacing w:before="0" w:after="0"/>
        <w:rPr>
          <w:b w:val="0"/>
        </w:rPr>
      </w:pPr>
      <w:r>
        <w:rPr>
          <w:b w:val="0"/>
        </w:rPr>
        <w:t>Les candidats devront détailler :</w:t>
      </w:r>
    </w:p>
    <w:p w:rsidR="00CF692D" w:rsidRDefault="00CF692D" w:rsidP="00264059">
      <w:pPr>
        <w:pStyle w:val="11"/>
        <w:numPr>
          <w:ilvl w:val="0"/>
          <w:numId w:val="0"/>
        </w:numPr>
        <w:spacing w:before="0" w:after="0"/>
        <w:rPr>
          <w:b w:val="0"/>
        </w:rPr>
      </w:pPr>
    </w:p>
    <w:p w:rsidR="007744AD" w:rsidRDefault="007744AD" w:rsidP="00264059">
      <w:pPr>
        <w:pStyle w:val="11"/>
        <w:numPr>
          <w:ilvl w:val="0"/>
          <w:numId w:val="23"/>
        </w:numPr>
        <w:spacing w:before="0" w:after="0"/>
        <w:rPr>
          <w:b w:val="0"/>
        </w:rPr>
      </w:pPr>
      <w:r>
        <w:rPr>
          <w:b w:val="0"/>
        </w:rPr>
        <w:t>L’autoévaluation des places d’accueil temporaire et le diagnostic des besoins du territoire</w:t>
      </w:r>
    </w:p>
    <w:p w:rsidR="00CF692D" w:rsidRPr="000D0F45" w:rsidRDefault="00CF692D" w:rsidP="00264059">
      <w:pPr>
        <w:pStyle w:val="11"/>
        <w:numPr>
          <w:ilvl w:val="0"/>
          <w:numId w:val="23"/>
        </w:numPr>
        <w:spacing w:before="0" w:after="0"/>
        <w:rPr>
          <w:b w:val="0"/>
        </w:rPr>
      </w:pPr>
      <w:r w:rsidRPr="000D0F45">
        <w:rPr>
          <w:b w:val="0"/>
        </w:rPr>
        <w:t>les modalités d’accompagnement au s</w:t>
      </w:r>
      <w:r w:rsidR="007C51E1" w:rsidRPr="000D0F45">
        <w:rPr>
          <w:b w:val="0"/>
        </w:rPr>
        <w:t>ei</w:t>
      </w:r>
      <w:r w:rsidRPr="000D0F45">
        <w:rPr>
          <w:b w:val="0"/>
        </w:rPr>
        <w:t>n de l’hébergement temporaire</w:t>
      </w:r>
      <w:r w:rsidR="00755ADD" w:rsidRPr="000D0F45">
        <w:rPr>
          <w:b w:val="0"/>
        </w:rPr>
        <w:t xml:space="preserve"> </w:t>
      </w:r>
      <w:r w:rsidRPr="000D0F45">
        <w:rPr>
          <w:b w:val="0"/>
        </w:rPr>
        <w:t xml:space="preserve">en EHPAD des personnes </w:t>
      </w:r>
      <w:r w:rsidR="008A03A7" w:rsidRPr="000D0F45">
        <w:rPr>
          <w:b w:val="0"/>
        </w:rPr>
        <w:t xml:space="preserve">âgées </w:t>
      </w:r>
      <w:r w:rsidR="00755ADD" w:rsidRPr="000D0F45">
        <w:rPr>
          <w:b w:val="0"/>
        </w:rPr>
        <w:t xml:space="preserve">sortant </w:t>
      </w:r>
      <w:r w:rsidRPr="000D0F45">
        <w:rPr>
          <w:b w:val="0"/>
        </w:rPr>
        <w:t>d’hospitalisation,</w:t>
      </w:r>
    </w:p>
    <w:p w:rsidR="00CF692D" w:rsidRDefault="00CF692D" w:rsidP="00264059">
      <w:pPr>
        <w:pStyle w:val="11"/>
        <w:numPr>
          <w:ilvl w:val="0"/>
          <w:numId w:val="23"/>
        </w:numPr>
        <w:spacing w:before="0" w:after="0"/>
        <w:rPr>
          <w:b w:val="0"/>
        </w:rPr>
      </w:pPr>
      <w:r>
        <w:rPr>
          <w:b w:val="0"/>
        </w:rPr>
        <w:t>les modalités</w:t>
      </w:r>
      <w:r w:rsidR="00EC43EB">
        <w:rPr>
          <w:b w:val="0"/>
        </w:rPr>
        <w:t xml:space="preserve"> de partenariats envisag</w:t>
      </w:r>
      <w:r w:rsidR="00202414">
        <w:rPr>
          <w:b w:val="0"/>
        </w:rPr>
        <w:t>ées entre l’EHPAD candidat et le</w:t>
      </w:r>
      <w:r w:rsidR="00EC43EB">
        <w:rPr>
          <w:b w:val="0"/>
        </w:rPr>
        <w:t>s principaux partenaires locaux impliqués dans le parcours de vie et de soins des personnes âgées : filière gériatrique hospitalière, service de spécialités, psychiatrie, services d’aide et de soins à domicile, services sociaux…</w:t>
      </w:r>
    </w:p>
    <w:p w:rsidR="00EC43EB" w:rsidRDefault="00EC43EB" w:rsidP="00264059">
      <w:pPr>
        <w:pStyle w:val="11"/>
        <w:numPr>
          <w:ilvl w:val="0"/>
          <w:numId w:val="0"/>
        </w:numPr>
        <w:spacing w:before="0" w:after="0"/>
        <w:ind w:left="792" w:hanging="432"/>
        <w:rPr>
          <w:b w:val="0"/>
        </w:rPr>
      </w:pPr>
    </w:p>
    <w:p w:rsidR="00264059" w:rsidRDefault="00EC43EB" w:rsidP="00264059">
      <w:pPr>
        <w:pStyle w:val="11"/>
        <w:numPr>
          <w:ilvl w:val="0"/>
          <w:numId w:val="0"/>
        </w:numPr>
        <w:spacing w:before="0" w:after="0"/>
        <w:rPr>
          <w:b w:val="0"/>
        </w:rPr>
      </w:pPr>
      <w:r>
        <w:rPr>
          <w:b w:val="0"/>
        </w:rPr>
        <w:t xml:space="preserve">Du fait de la nature même du projet, le partenariat devra se concrétiser par </w:t>
      </w:r>
      <w:r w:rsidR="00264059">
        <w:rPr>
          <w:b w:val="0"/>
        </w:rPr>
        <w:t>la</w:t>
      </w:r>
      <w:r>
        <w:rPr>
          <w:b w:val="0"/>
        </w:rPr>
        <w:t xml:space="preserve"> signature d’une convention avec le ou les établissements de santé</w:t>
      </w:r>
      <w:r w:rsidR="00264059">
        <w:rPr>
          <w:b w:val="0"/>
        </w:rPr>
        <w:t>, définissant les modalités et conditions  d’orientation des usagers en sortie d’hospitalisation vers l’hébergement temporaire de l’EHPAD. Une validation conjointe des profils des personnes éligibles à l’héberg</w:t>
      </w:r>
      <w:r w:rsidR="00202414">
        <w:rPr>
          <w:b w:val="0"/>
        </w:rPr>
        <w:t>ement temporaire en EHPAD par le</w:t>
      </w:r>
      <w:r w:rsidR="00264059">
        <w:rPr>
          <w:b w:val="0"/>
        </w:rPr>
        <w:t xml:space="preserve">s médecins des deux structures apparaît indispensable. </w:t>
      </w:r>
    </w:p>
    <w:p w:rsidR="00264059" w:rsidRDefault="00264059" w:rsidP="00264059">
      <w:pPr>
        <w:pStyle w:val="11"/>
        <w:numPr>
          <w:ilvl w:val="0"/>
          <w:numId w:val="0"/>
        </w:numPr>
        <w:spacing w:before="0" w:after="0"/>
        <w:rPr>
          <w:b w:val="0"/>
        </w:rPr>
      </w:pPr>
    </w:p>
    <w:p w:rsidR="007C51E1" w:rsidRDefault="007C51E1" w:rsidP="00264059">
      <w:pPr>
        <w:pStyle w:val="11"/>
        <w:numPr>
          <w:ilvl w:val="0"/>
          <w:numId w:val="0"/>
        </w:numPr>
        <w:spacing w:before="0" w:after="0"/>
        <w:rPr>
          <w:b w:val="0"/>
        </w:rPr>
      </w:pPr>
    </w:p>
    <w:p w:rsidR="00870590" w:rsidRPr="006B102B" w:rsidRDefault="005F6A50" w:rsidP="00264059">
      <w:pPr>
        <w:pStyle w:val="11"/>
        <w:numPr>
          <w:ilvl w:val="0"/>
          <w:numId w:val="22"/>
        </w:numPr>
        <w:pBdr>
          <w:bottom w:val="single" w:sz="4" w:space="1" w:color="auto"/>
        </w:pBdr>
        <w:spacing w:before="0" w:after="0"/>
        <w:jc w:val="left"/>
        <w:rPr>
          <w:color w:val="17365D" w:themeColor="text2" w:themeShade="BF"/>
          <w:sz w:val="22"/>
          <w:szCs w:val="22"/>
        </w:rPr>
      </w:pPr>
      <w:r>
        <w:rPr>
          <w:color w:val="17365D" w:themeColor="text2" w:themeShade="BF"/>
          <w:sz w:val="22"/>
          <w:szCs w:val="22"/>
        </w:rPr>
        <w:t>Attribution</w:t>
      </w:r>
      <w:r w:rsidR="00870590">
        <w:rPr>
          <w:color w:val="17365D" w:themeColor="text2" w:themeShade="BF"/>
          <w:sz w:val="22"/>
          <w:szCs w:val="22"/>
        </w:rPr>
        <w:t xml:space="preserve"> des financements</w:t>
      </w:r>
    </w:p>
    <w:p w:rsidR="00A60E83" w:rsidRDefault="00A60E83" w:rsidP="00264059">
      <w:pPr>
        <w:pStyle w:val="11"/>
        <w:numPr>
          <w:ilvl w:val="0"/>
          <w:numId w:val="0"/>
        </w:numPr>
        <w:spacing w:before="0" w:after="0"/>
        <w:rPr>
          <w:sz w:val="24"/>
          <w:szCs w:val="24"/>
        </w:rPr>
      </w:pPr>
    </w:p>
    <w:p w:rsidR="00260754" w:rsidRPr="000D0F45" w:rsidRDefault="00202414" w:rsidP="007C51E1">
      <w:pPr>
        <w:pStyle w:val="11"/>
        <w:numPr>
          <w:ilvl w:val="0"/>
          <w:numId w:val="0"/>
        </w:numPr>
        <w:spacing w:before="0" w:after="0"/>
        <w:rPr>
          <w:b w:val="0"/>
        </w:rPr>
      </w:pPr>
      <w:r>
        <w:rPr>
          <w:b w:val="0"/>
        </w:rPr>
        <w:t xml:space="preserve">Pour mener à bien les </w:t>
      </w:r>
      <w:r w:rsidR="00264059">
        <w:rPr>
          <w:b w:val="0"/>
        </w:rPr>
        <w:t>« hébergement</w:t>
      </w:r>
      <w:r>
        <w:rPr>
          <w:b w:val="0"/>
        </w:rPr>
        <w:t>s</w:t>
      </w:r>
      <w:r w:rsidR="00264059">
        <w:rPr>
          <w:b w:val="0"/>
        </w:rPr>
        <w:t xml:space="preserve"> temporaire</w:t>
      </w:r>
      <w:r>
        <w:rPr>
          <w:b w:val="0"/>
        </w:rPr>
        <w:t>s</w:t>
      </w:r>
      <w:r w:rsidR="00264059">
        <w:rPr>
          <w:b w:val="0"/>
        </w:rPr>
        <w:t xml:space="preserve"> en EHPAD en sortie d’hospitalisation</w:t>
      </w:r>
      <w:r w:rsidR="00FB7C2D">
        <w:rPr>
          <w:b w:val="0"/>
        </w:rPr>
        <w:t> »</w:t>
      </w:r>
      <w:r w:rsidR="007C51E1">
        <w:rPr>
          <w:b w:val="0"/>
        </w:rPr>
        <w:t>, l’ARS Normandie prévoit u</w:t>
      </w:r>
      <w:r w:rsidR="00582611">
        <w:rPr>
          <w:b w:val="0"/>
        </w:rPr>
        <w:t>ne revalorisation du forfait soin actuellement attribué pour les places d’hébergement temporaire déjà autorisées</w:t>
      </w:r>
      <w:r w:rsidR="00C46DBC">
        <w:rPr>
          <w:b w:val="0"/>
        </w:rPr>
        <w:t xml:space="preserve"> </w:t>
      </w:r>
      <w:r w:rsidR="00C46DBC" w:rsidRPr="000D0F45">
        <w:rPr>
          <w:b w:val="0"/>
        </w:rPr>
        <w:t>à hauteur de 15 000€ par place</w:t>
      </w:r>
      <w:r w:rsidR="000D0F45">
        <w:rPr>
          <w:b w:val="0"/>
        </w:rPr>
        <w:t xml:space="preserve">. </w:t>
      </w:r>
      <w:r w:rsidR="00C46DBC" w:rsidRPr="000D0F45">
        <w:rPr>
          <w:b w:val="0"/>
        </w:rPr>
        <w:t>Ce montant, sur la base d’un taux d’occupation moyen de 80% pour ces places d’hébergement temporaire en sortie d’hospitalisation</w:t>
      </w:r>
      <w:r w:rsidR="00AD7894" w:rsidRPr="000D0F45">
        <w:rPr>
          <w:b w:val="0"/>
        </w:rPr>
        <w:t>,</w:t>
      </w:r>
      <w:r w:rsidR="00C46DBC" w:rsidRPr="000D0F45">
        <w:rPr>
          <w:b w:val="0"/>
        </w:rPr>
        <w:t xml:space="preserve"> permet de diminuer le reste à charge du résident de 50</w:t>
      </w:r>
      <w:r w:rsidR="00644A38" w:rsidRPr="000D0F45">
        <w:rPr>
          <w:b w:val="0"/>
        </w:rPr>
        <w:t>€ par jour (15000€/365/0.8 = 51.37€).</w:t>
      </w:r>
    </w:p>
    <w:p w:rsidR="00C46DBC" w:rsidRDefault="00C46DBC" w:rsidP="007C51E1">
      <w:pPr>
        <w:pStyle w:val="11"/>
        <w:numPr>
          <w:ilvl w:val="0"/>
          <w:numId w:val="0"/>
        </w:numPr>
        <w:spacing w:before="0" w:after="0"/>
        <w:rPr>
          <w:b w:val="0"/>
          <w:color w:val="FF0000"/>
        </w:rPr>
      </w:pPr>
    </w:p>
    <w:p w:rsidR="00C46DBC" w:rsidRDefault="00C46DBC" w:rsidP="007C51E1">
      <w:pPr>
        <w:pStyle w:val="11"/>
        <w:numPr>
          <w:ilvl w:val="0"/>
          <w:numId w:val="0"/>
        </w:numPr>
        <w:spacing w:before="0" w:after="0"/>
        <w:rPr>
          <w:b w:val="0"/>
          <w:color w:val="FF0000"/>
        </w:rPr>
      </w:pPr>
    </w:p>
    <w:p w:rsidR="00C46DBC" w:rsidRDefault="00C46DBC" w:rsidP="007C51E1">
      <w:pPr>
        <w:pStyle w:val="11"/>
        <w:numPr>
          <w:ilvl w:val="0"/>
          <w:numId w:val="0"/>
        </w:numPr>
        <w:spacing w:before="0" w:after="0"/>
        <w:rPr>
          <w:b w:val="0"/>
          <w:color w:val="FF0000"/>
        </w:rPr>
      </w:pPr>
    </w:p>
    <w:p w:rsidR="00C46DBC" w:rsidRDefault="00C46DBC" w:rsidP="007C51E1">
      <w:pPr>
        <w:pStyle w:val="11"/>
        <w:numPr>
          <w:ilvl w:val="0"/>
          <w:numId w:val="0"/>
        </w:numPr>
        <w:spacing w:before="0" w:after="0"/>
        <w:rPr>
          <w:b w:val="0"/>
          <w:color w:val="FF0000"/>
        </w:rPr>
      </w:pPr>
    </w:p>
    <w:p w:rsidR="00C46DBC" w:rsidRDefault="00C46DBC" w:rsidP="007C51E1">
      <w:pPr>
        <w:pStyle w:val="11"/>
        <w:numPr>
          <w:ilvl w:val="0"/>
          <w:numId w:val="0"/>
        </w:numPr>
        <w:spacing w:before="0" w:after="0"/>
        <w:rPr>
          <w:b w:val="0"/>
          <w:color w:val="FF0000"/>
        </w:rPr>
      </w:pPr>
    </w:p>
    <w:p w:rsidR="00C46DBC" w:rsidRDefault="00C46DBC" w:rsidP="007C51E1">
      <w:pPr>
        <w:pStyle w:val="11"/>
        <w:numPr>
          <w:ilvl w:val="0"/>
          <w:numId w:val="0"/>
        </w:numPr>
        <w:spacing w:before="0" w:after="0"/>
        <w:rPr>
          <w:b w:val="0"/>
        </w:rPr>
      </w:pPr>
      <w:r w:rsidRPr="007723EA">
        <w:t>Tableau indicatif</w:t>
      </w:r>
      <w:r w:rsidRPr="000D0F45">
        <w:rPr>
          <w:b w:val="0"/>
        </w:rPr>
        <w:t xml:space="preserve"> de répartition de l’enveloppe régionale et de création de places d’hébergement temporaire en sortie d’hospitalisation</w:t>
      </w:r>
    </w:p>
    <w:p w:rsidR="000D0F45" w:rsidRDefault="000D0F45" w:rsidP="007C51E1">
      <w:pPr>
        <w:pStyle w:val="11"/>
        <w:numPr>
          <w:ilvl w:val="0"/>
          <w:numId w:val="0"/>
        </w:numPr>
        <w:spacing w:before="0" w:after="0"/>
        <w:rPr>
          <w:b w:val="0"/>
        </w:rPr>
      </w:pPr>
    </w:p>
    <w:tbl>
      <w:tblPr>
        <w:tblStyle w:val="Grilledutableau"/>
        <w:tblW w:w="0" w:type="auto"/>
        <w:tblInd w:w="38" w:type="dxa"/>
        <w:tblLook w:val="04A0" w:firstRow="1" w:lastRow="0" w:firstColumn="1" w:lastColumn="0" w:noHBand="0" w:noVBand="1"/>
      </w:tblPr>
      <w:tblGrid>
        <w:gridCol w:w="1842"/>
        <w:gridCol w:w="1842"/>
        <w:gridCol w:w="1842"/>
        <w:gridCol w:w="1843"/>
        <w:gridCol w:w="1843"/>
      </w:tblGrid>
      <w:tr w:rsidR="000D0F45" w:rsidTr="00D659C0">
        <w:trPr>
          <w:trHeight w:val="951"/>
        </w:trPr>
        <w:tc>
          <w:tcPr>
            <w:tcW w:w="1842" w:type="dxa"/>
            <w:vAlign w:val="center"/>
          </w:tcPr>
          <w:p w:rsidR="000D0F45" w:rsidRPr="000D0F45" w:rsidRDefault="000D0F45" w:rsidP="00D659C0">
            <w:pPr>
              <w:pStyle w:val="11"/>
              <w:numPr>
                <w:ilvl w:val="0"/>
                <w:numId w:val="0"/>
              </w:numPr>
              <w:spacing w:before="0" w:after="0"/>
              <w:jc w:val="center"/>
              <w:rPr>
                <w:b w:val="0"/>
              </w:rPr>
            </w:pPr>
            <w:r w:rsidRPr="000D0F45">
              <w:rPr>
                <w:b w:val="0"/>
              </w:rPr>
              <w:t>Départements</w:t>
            </w:r>
          </w:p>
        </w:tc>
        <w:tc>
          <w:tcPr>
            <w:tcW w:w="1842" w:type="dxa"/>
            <w:vAlign w:val="center"/>
          </w:tcPr>
          <w:p w:rsidR="000D0F45" w:rsidRPr="000D0F45" w:rsidRDefault="000D0F45" w:rsidP="00D659C0">
            <w:pPr>
              <w:pStyle w:val="11"/>
              <w:numPr>
                <w:ilvl w:val="0"/>
                <w:numId w:val="0"/>
              </w:numPr>
              <w:spacing w:before="0" w:after="0"/>
              <w:jc w:val="center"/>
              <w:rPr>
                <w:b w:val="0"/>
              </w:rPr>
            </w:pPr>
            <w:r w:rsidRPr="000D0F45">
              <w:rPr>
                <w:b w:val="0"/>
              </w:rPr>
              <w:t>places HT</w:t>
            </w:r>
            <w:r w:rsidRPr="000D0F45">
              <w:rPr>
                <w:b w:val="0"/>
              </w:rPr>
              <w:br/>
              <w:t>sortie hospitalisation</w:t>
            </w:r>
          </w:p>
        </w:tc>
        <w:tc>
          <w:tcPr>
            <w:tcW w:w="1842" w:type="dxa"/>
            <w:vAlign w:val="center"/>
          </w:tcPr>
          <w:p w:rsidR="000D0F45" w:rsidRPr="000D0F45" w:rsidRDefault="000D0F45" w:rsidP="00D659C0">
            <w:pPr>
              <w:pStyle w:val="11"/>
              <w:numPr>
                <w:ilvl w:val="0"/>
                <w:numId w:val="0"/>
              </w:numPr>
              <w:spacing w:before="0" w:after="0"/>
              <w:jc w:val="center"/>
              <w:rPr>
                <w:b w:val="0"/>
              </w:rPr>
            </w:pPr>
            <w:r w:rsidRPr="000D0F45">
              <w:rPr>
                <w:b w:val="0"/>
              </w:rPr>
              <w:t>Montant projets</w:t>
            </w:r>
          </w:p>
          <w:p w:rsidR="000D0F45" w:rsidRPr="000D0F45" w:rsidRDefault="000D0F45" w:rsidP="00D659C0">
            <w:pPr>
              <w:pStyle w:val="11"/>
              <w:numPr>
                <w:ilvl w:val="0"/>
                <w:numId w:val="0"/>
              </w:numPr>
              <w:spacing w:before="0" w:after="0"/>
              <w:jc w:val="center"/>
              <w:rPr>
                <w:b w:val="0"/>
              </w:rPr>
            </w:pPr>
            <w:r w:rsidRPr="000D0F45">
              <w:rPr>
                <w:b w:val="0"/>
              </w:rPr>
              <w:t>(A=B+C)</w:t>
            </w:r>
            <w:r w:rsidRPr="000D0F45">
              <w:rPr>
                <w:b w:val="0"/>
              </w:rPr>
              <w:br/>
              <w:t>(places *15000€)</w:t>
            </w:r>
          </w:p>
        </w:tc>
        <w:tc>
          <w:tcPr>
            <w:tcW w:w="1843" w:type="dxa"/>
            <w:vAlign w:val="center"/>
          </w:tcPr>
          <w:p w:rsidR="000D0F45" w:rsidRPr="000D0F45" w:rsidRDefault="000D0F45" w:rsidP="00D659C0">
            <w:pPr>
              <w:pStyle w:val="11"/>
              <w:numPr>
                <w:ilvl w:val="0"/>
                <w:numId w:val="0"/>
              </w:numPr>
              <w:spacing w:before="0" w:after="0"/>
              <w:jc w:val="center"/>
              <w:rPr>
                <w:b w:val="0"/>
              </w:rPr>
            </w:pPr>
          </w:p>
          <w:p w:rsidR="000D0F45" w:rsidRPr="000D0F45" w:rsidRDefault="000D0F45" w:rsidP="00D659C0">
            <w:pPr>
              <w:pStyle w:val="11"/>
              <w:numPr>
                <w:ilvl w:val="0"/>
                <w:numId w:val="0"/>
              </w:numPr>
              <w:spacing w:before="0" w:after="0"/>
              <w:jc w:val="center"/>
              <w:rPr>
                <w:b w:val="0"/>
              </w:rPr>
            </w:pPr>
            <w:r w:rsidRPr="000D0F45">
              <w:rPr>
                <w:b w:val="0"/>
              </w:rPr>
              <w:t>Enveloppe attribuée</w:t>
            </w:r>
          </w:p>
          <w:p w:rsidR="000D0F45" w:rsidRPr="000D0F45" w:rsidRDefault="000D0F45" w:rsidP="00D659C0">
            <w:pPr>
              <w:pStyle w:val="11"/>
              <w:numPr>
                <w:ilvl w:val="0"/>
                <w:numId w:val="0"/>
              </w:numPr>
              <w:spacing w:before="0" w:after="0"/>
              <w:jc w:val="center"/>
              <w:rPr>
                <w:b w:val="0"/>
              </w:rPr>
            </w:pPr>
            <w:r w:rsidRPr="000D0F45">
              <w:rPr>
                <w:b w:val="0"/>
              </w:rPr>
              <w:t>(B)</w:t>
            </w:r>
          </w:p>
          <w:p w:rsidR="000D0F45" w:rsidRPr="000D0F45" w:rsidRDefault="000D0F45" w:rsidP="00D659C0">
            <w:pPr>
              <w:pStyle w:val="11"/>
              <w:numPr>
                <w:ilvl w:val="0"/>
                <w:numId w:val="0"/>
              </w:numPr>
              <w:spacing w:before="0" w:after="0"/>
              <w:jc w:val="center"/>
              <w:rPr>
                <w:b w:val="0"/>
              </w:rPr>
            </w:pPr>
          </w:p>
        </w:tc>
        <w:tc>
          <w:tcPr>
            <w:tcW w:w="1843" w:type="dxa"/>
            <w:vAlign w:val="center"/>
          </w:tcPr>
          <w:p w:rsidR="000D0F45" w:rsidRPr="000D0F45" w:rsidRDefault="000D0F45" w:rsidP="00D659C0">
            <w:pPr>
              <w:pStyle w:val="11"/>
              <w:numPr>
                <w:ilvl w:val="0"/>
                <w:numId w:val="0"/>
              </w:numPr>
              <w:spacing w:before="0" w:after="0"/>
              <w:jc w:val="center"/>
              <w:rPr>
                <w:b w:val="0"/>
              </w:rPr>
            </w:pPr>
            <w:r w:rsidRPr="000D0F45">
              <w:rPr>
                <w:b w:val="0"/>
              </w:rPr>
              <w:t>Redéploiement</w:t>
            </w:r>
          </w:p>
          <w:p w:rsidR="000D0F45" w:rsidRPr="000D0F45" w:rsidRDefault="000D0F45" w:rsidP="00D659C0">
            <w:pPr>
              <w:pStyle w:val="11"/>
              <w:numPr>
                <w:ilvl w:val="0"/>
                <w:numId w:val="0"/>
              </w:numPr>
              <w:spacing w:before="0" w:after="0"/>
              <w:jc w:val="center"/>
              <w:rPr>
                <w:b w:val="0"/>
              </w:rPr>
            </w:pPr>
            <w:r w:rsidRPr="000D0F45">
              <w:rPr>
                <w:b w:val="0"/>
              </w:rPr>
              <w:t>(C)</w:t>
            </w:r>
          </w:p>
          <w:p w:rsidR="000D0F45" w:rsidRPr="000D0F45" w:rsidRDefault="000D0F45" w:rsidP="00D659C0">
            <w:pPr>
              <w:pStyle w:val="11"/>
              <w:numPr>
                <w:ilvl w:val="0"/>
                <w:numId w:val="0"/>
              </w:numPr>
              <w:spacing w:before="0" w:after="0"/>
              <w:jc w:val="center"/>
              <w:rPr>
                <w:b w:val="0"/>
              </w:rPr>
            </w:pPr>
          </w:p>
        </w:tc>
      </w:tr>
      <w:tr w:rsidR="000D0F45" w:rsidTr="00E518C5">
        <w:tc>
          <w:tcPr>
            <w:tcW w:w="1842" w:type="dxa"/>
            <w:vAlign w:val="bottom"/>
          </w:tcPr>
          <w:p w:rsidR="000D0F45" w:rsidRPr="000D0F45" w:rsidRDefault="000D0F45" w:rsidP="00D659C0">
            <w:pPr>
              <w:pStyle w:val="11"/>
              <w:numPr>
                <w:ilvl w:val="0"/>
                <w:numId w:val="0"/>
              </w:numPr>
              <w:spacing w:before="0" w:after="0"/>
              <w:jc w:val="center"/>
              <w:rPr>
                <w:b w:val="0"/>
              </w:rPr>
            </w:pPr>
            <w:r w:rsidRPr="000D0F45">
              <w:rPr>
                <w:b w:val="0"/>
              </w:rPr>
              <w:t>Calvados</w:t>
            </w:r>
          </w:p>
        </w:tc>
        <w:tc>
          <w:tcPr>
            <w:tcW w:w="1842" w:type="dxa"/>
            <w:vAlign w:val="bottom"/>
          </w:tcPr>
          <w:p w:rsidR="000D0F45" w:rsidRPr="000D0F45" w:rsidRDefault="000D0F45" w:rsidP="00D659C0">
            <w:pPr>
              <w:pStyle w:val="11"/>
              <w:numPr>
                <w:ilvl w:val="0"/>
                <w:numId w:val="0"/>
              </w:numPr>
              <w:spacing w:before="0" w:after="0"/>
              <w:jc w:val="center"/>
              <w:rPr>
                <w:b w:val="0"/>
              </w:rPr>
            </w:pPr>
            <w:r w:rsidRPr="000D0F45">
              <w:rPr>
                <w:b w:val="0"/>
              </w:rPr>
              <w:t>15</w:t>
            </w:r>
          </w:p>
        </w:tc>
        <w:tc>
          <w:tcPr>
            <w:tcW w:w="1842" w:type="dxa"/>
            <w:vAlign w:val="bottom"/>
          </w:tcPr>
          <w:p w:rsidR="000D0F45" w:rsidRPr="000D0F45" w:rsidRDefault="000D0F45" w:rsidP="00D659C0">
            <w:pPr>
              <w:pStyle w:val="11"/>
              <w:numPr>
                <w:ilvl w:val="0"/>
                <w:numId w:val="0"/>
              </w:numPr>
              <w:spacing w:before="0" w:after="0"/>
              <w:jc w:val="center"/>
              <w:rPr>
                <w:b w:val="0"/>
              </w:rPr>
            </w:pPr>
            <w:r w:rsidRPr="000D0F45">
              <w:rPr>
                <w:b w:val="0"/>
              </w:rPr>
              <w:t>225 000</w:t>
            </w:r>
          </w:p>
        </w:tc>
        <w:tc>
          <w:tcPr>
            <w:tcW w:w="1843" w:type="dxa"/>
            <w:vAlign w:val="bottom"/>
          </w:tcPr>
          <w:p w:rsidR="000D0F45" w:rsidRPr="000D0F45" w:rsidRDefault="000D0F45" w:rsidP="00D659C0">
            <w:pPr>
              <w:pStyle w:val="11"/>
              <w:numPr>
                <w:ilvl w:val="0"/>
                <w:numId w:val="0"/>
              </w:numPr>
              <w:spacing w:before="0" w:after="0"/>
              <w:jc w:val="center"/>
              <w:rPr>
                <w:b w:val="0"/>
              </w:rPr>
            </w:pPr>
            <w:r w:rsidRPr="000D0F45">
              <w:rPr>
                <w:b w:val="0"/>
              </w:rPr>
              <w:t>150 000</w:t>
            </w:r>
          </w:p>
        </w:tc>
        <w:tc>
          <w:tcPr>
            <w:tcW w:w="1843" w:type="dxa"/>
            <w:vAlign w:val="bottom"/>
          </w:tcPr>
          <w:p w:rsidR="000D0F45" w:rsidRPr="000D0F45" w:rsidRDefault="000D0F45" w:rsidP="00D659C0">
            <w:pPr>
              <w:pStyle w:val="11"/>
              <w:numPr>
                <w:ilvl w:val="0"/>
                <w:numId w:val="0"/>
              </w:numPr>
              <w:spacing w:before="0" w:after="0"/>
              <w:jc w:val="center"/>
              <w:rPr>
                <w:b w:val="0"/>
              </w:rPr>
            </w:pPr>
            <w:r w:rsidRPr="000D0F45">
              <w:rPr>
                <w:b w:val="0"/>
              </w:rPr>
              <w:t>75 000</w:t>
            </w:r>
          </w:p>
        </w:tc>
      </w:tr>
      <w:tr w:rsidR="000D0F45" w:rsidTr="00E518C5">
        <w:tc>
          <w:tcPr>
            <w:tcW w:w="1842" w:type="dxa"/>
            <w:vAlign w:val="bottom"/>
          </w:tcPr>
          <w:p w:rsidR="000D0F45" w:rsidRPr="000D0F45" w:rsidRDefault="000D0F45" w:rsidP="00D659C0">
            <w:pPr>
              <w:pStyle w:val="11"/>
              <w:numPr>
                <w:ilvl w:val="0"/>
                <w:numId w:val="0"/>
              </w:numPr>
              <w:spacing w:before="0" w:after="0"/>
              <w:jc w:val="center"/>
              <w:rPr>
                <w:b w:val="0"/>
              </w:rPr>
            </w:pPr>
            <w:r w:rsidRPr="000D0F45">
              <w:rPr>
                <w:b w:val="0"/>
              </w:rPr>
              <w:t>Eure</w:t>
            </w:r>
          </w:p>
        </w:tc>
        <w:tc>
          <w:tcPr>
            <w:tcW w:w="1842" w:type="dxa"/>
            <w:vAlign w:val="bottom"/>
          </w:tcPr>
          <w:p w:rsidR="000D0F45" w:rsidRPr="000D0F45" w:rsidRDefault="000D0F45" w:rsidP="00D659C0">
            <w:pPr>
              <w:pStyle w:val="11"/>
              <w:numPr>
                <w:ilvl w:val="0"/>
                <w:numId w:val="0"/>
              </w:numPr>
              <w:spacing w:before="0" w:after="0"/>
              <w:jc w:val="center"/>
              <w:rPr>
                <w:b w:val="0"/>
              </w:rPr>
            </w:pPr>
            <w:r w:rsidRPr="000D0F45">
              <w:rPr>
                <w:b w:val="0"/>
              </w:rPr>
              <w:t>10</w:t>
            </w:r>
          </w:p>
        </w:tc>
        <w:tc>
          <w:tcPr>
            <w:tcW w:w="1842" w:type="dxa"/>
            <w:vAlign w:val="bottom"/>
          </w:tcPr>
          <w:p w:rsidR="000D0F45" w:rsidRPr="000D0F45" w:rsidRDefault="000D0F45" w:rsidP="00D659C0">
            <w:pPr>
              <w:pStyle w:val="11"/>
              <w:numPr>
                <w:ilvl w:val="0"/>
                <w:numId w:val="0"/>
              </w:numPr>
              <w:spacing w:before="0" w:after="0"/>
              <w:jc w:val="center"/>
              <w:rPr>
                <w:b w:val="0"/>
              </w:rPr>
            </w:pPr>
            <w:r w:rsidRPr="000D0F45">
              <w:rPr>
                <w:b w:val="0"/>
              </w:rPr>
              <w:t>150 000</w:t>
            </w:r>
          </w:p>
        </w:tc>
        <w:tc>
          <w:tcPr>
            <w:tcW w:w="1843" w:type="dxa"/>
            <w:vAlign w:val="bottom"/>
          </w:tcPr>
          <w:p w:rsidR="000D0F45" w:rsidRPr="000D0F45" w:rsidRDefault="000D0F45" w:rsidP="00D659C0">
            <w:pPr>
              <w:pStyle w:val="11"/>
              <w:numPr>
                <w:ilvl w:val="0"/>
                <w:numId w:val="0"/>
              </w:numPr>
              <w:spacing w:before="0" w:after="0"/>
              <w:jc w:val="center"/>
              <w:rPr>
                <w:b w:val="0"/>
              </w:rPr>
            </w:pPr>
            <w:r w:rsidRPr="000D0F45">
              <w:rPr>
                <w:b w:val="0"/>
              </w:rPr>
              <w:t>135 000</w:t>
            </w:r>
          </w:p>
        </w:tc>
        <w:tc>
          <w:tcPr>
            <w:tcW w:w="1843" w:type="dxa"/>
            <w:vAlign w:val="bottom"/>
          </w:tcPr>
          <w:p w:rsidR="000D0F45" w:rsidRPr="000D0F45" w:rsidRDefault="000D0F45" w:rsidP="00D659C0">
            <w:pPr>
              <w:pStyle w:val="11"/>
              <w:numPr>
                <w:ilvl w:val="0"/>
                <w:numId w:val="0"/>
              </w:numPr>
              <w:spacing w:before="0" w:after="0"/>
              <w:jc w:val="center"/>
              <w:rPr>
                <w:b w:val="0"/>
              </w:rPr>
            </w:pPr>
            <w:r w:rsidRPr="000D0F45">
              <w:rPr>
                <w:b w:val="0"/>
              </w:rPr>
              <w:t>15 000</w:t>
            </w:r>
          </w:p>
        </w:tc>
      </w:tr>
      <w:tr w:rsidR="000D0F45" w:rsidTr="00E518C5">
        <w:tc>
          <w:tcPr>
            <w:tcW w:w="1842" w:type="dxa"/>
            <w:vAlign w:val="bottom"/>
          </w:tcPr>
          <w:p w:rsidR="000D0F45" w:rsidRPr="000D0F45" w:rsidRDefault="000D0F45" w:rsidP="00D659C0">
            <w:pPr>
              <w:pStyle w:val="11"/>
              <w:numPr>
                <w:ilvl w:val="0"/>
                <w:numId w:val="0"/>
              </w:numPr>
              <w:spacing w:before="0" w:after="0"/>
              <w:jc w:val="center"/>
              <w:rPr>
                <w:b w:val="0"/>
              </w:rPr>
            </w:pPr>
            <w:r w:rsidRPr="000D0F45">
              <w:rPr>
                <w:b w:val="0"/>
              </w:rPr>
              <w:t>Manche</w:t>
            </w:r>
          </w:p>
        </w:tc>
        <w:tc>
          <w:tcPr>
            <w:tcW w:w="1842" w:type="dxa"/>
            <w:vAlign w:val="bottom"/>
          </w:tcPr>
          <w:p w:rsidR="000D0F45" w:rsidRPr="000D0F45" w:rsidRDefault="000D0F45" w:rsidP="00D659C0">
            <w:pPr>
              <w:pStyle w:val="11"/>
              <w:numPr>
                <w:ilvl w:val="0"/>
                <w:numId w:val="0"/>
              </w:numPr>
              <w:spacing w:before="0" w:after="0"/>
              <w:jc w:val="center"/>
              <w:rPr>
                <w:b w:val="0"/>
              </w:rPr>
            </w:pPr>
            <w:r w:rsidRPr="000D0F45">
              <w:rPr>
                <w:b w:val="0"/>
              </w:rPr>
              <w:t>10</w:t>
            </w:r>
          </w:p>
        </w:tc>
        <w:tc>
          <w:tcPr>
            <w:tcW w:w="1842" w:type="dxa"/>
            <w:vAlign w:val="bottom"/>
          </w:tcPr>
          <w:p w:rsidR="000D0F45" w:rsidRPr="000D0F45" w:rsidRDefault="000D0F45" w:rsidP="00D659C0">
            <w:pPr>
              <w:pStyle w:val="11"/>
              <w:numPr>
                <w:ilvl w:val="0"/>
                <w:numId w:val="0"/>
              </w:numPr>
              <w:spacing w:before="0" w:after="0"/>
              <w:jc w:val="center"/>
              <w:rPr>
                <w:b w:val="0"/>
              </w:rPr>
            </w:pPr>
            <w:r w:rsidRPr="000D0F45">
              <w:rPr>
                <w:b w:val="0"/>
              </w:rPr>
              <w:t>150 000</w:t>
            </w:r>
          </w:p>
        </w:tc>
        <w:tc>
          <w:tcPr>
            <w:tcW w:w="1843" w:type="dxa"/>
            <w:vAlign w:val="bottom"/>
          </w:tcPr>
          <w:p w:rsidR="000D0F45" w:rsidRPr="000D0F45" w:rsidRDefault="000D0F45" w:rsidP="00D659C0">
            <w:pPr>
              <w:pStyle w:val="11"/>
              <w:numPr>
                <w:ilvl w:val="0"/>
                <w:numId w:val="0"/>
              </w:numPr>
              <w:spacing w:before="0" w:after="0"/>
              <w:jc w:val="center"/>
              <w:rPr>
                <w:b w:val="0"/>
              </w:rPr>
            </w:pPr>
            <w:r w:rsidRPr="000D0F45">
              <w:rPr>
                <w:b w:val="0"/>
              </w:rPr>
              <w:t>135 000</w:t>
            </w:r>
          </w:p>
        </w:tc>
        <w:tc>
          <w:tcPr>
            <w:tcW w:w="1843" w:type="dxa"/>
            <w:vAlign w:val="bottom"/>
          </w:tcPr>
          <w:p w:rsidR="000D0F45" w:rsidRPr="000D0F45" w:rsidRDefault="000D0F45" w:rsidP="00D659C0">
            <w:pPr>
              <w:pStyle w:val="11"/>
              <w:numPr>
                <w:ilvl w:val="0"/>
                <w:numId w:val="0"/>
              </w:numPr>
              <w:spacing w:before="0" w:after="0"/>
              <w:jc w:val="center"/>
              <w:rPr>
                <w:b w:val="0"/>
              </w:rPr>
            </w:pPr>
            <w:r w:rsidRPr="000D0F45">
              <w:rPr>
                <w:b w:val="0"/>
              </w:rPr>
              <w:t>15 000</w:t>
            </w:r>
          </w:p>
        </w:tc>
      </w:tr>
      <w:tr w:rsidR="000D0F45" w:rsidTr="00E518C5">
        <w:tc>
          <w:tcPr>
            <w:tcW w:w="1842" w:type="dxa"/>
            <w:vAlign w:val="bottom"/>
          </w:tcPr>
          <w:p w:rsidR="000D0F45" w:rsidRPr="000D0F45" w:rsidRDefault="000D0F45" w:rsidP="00D659C0">
            <w:pPr>
              <w:pStyle w:val="11"/>
              <w:numPr>
                <w:ilvl w:val="0"/>
                <w:numId w:val="0"/>
              </w:numPr>
              <w:spacing w:before="0" w:after="0"/>
              <w:jc w:val="center"/>
              <w:rPr>
                <w:b w:val="0"/>
              </w:rPr>
            </w:pPr>
            <w:r w:rsidRPr="000D0F45">
              <w:rPr>
                <w:b w:val="0"/>
              </w:rPr>
              <w:t>Orne</w:t>
            </w:r>
          </w:p>
        </w:tc>
        <w:tc>
          <w:tcPr>
            <w:tcW w:w="1842" w:type="dxa"/>
            <w:vAlign w:val="bottom"/>
          </w:tcPr>
          <w:p w:rsidR="000D0F45" w:rsidRPr="000D0F45" w:rsidRDefault="000D0F45" w:rsidP="00D659C0">
            <w:pPr>
              <w:pStyle w:val="11"/>
              <w:numPr>
                <w:ilvl w:val="0"/>
                <w:numId w:val="0"/>
              </w:numPr>
              <w:spacing w:before="0" w:after="0"/>
              <w:jc w:val="center"/>
              <w:rPr>
                <w:b w:val="0"/>
              </w:rPr>
            </w:pPr>
            <w:r w:rsidRPr="000D0F45">
              <w:rPr>
                <w:b w:val="0"/>
              </w:rPr>
              <w:t>10</w:t>
            </w:r>
          </w:p>
        </w:tc>
        <w:tc>
          <w:tcPr>
            <w:tcW w:w="1842" w:type="dxa"/>
            <w:vAlign w:val="bottom"/>
          </w:tcPr>
          <w:p w:rsidR="000D0F45" w:rsidRPr="000D0F45" w:rsidRDefault="000D0F45" w:rsidP="00D659C0">
            <w:pPr>
              <w:pStyle w:val="11"/>
              <w:numPr>
                <w:ilvl w:val="0"/>
                <w:numId w:val="0"/>
              </w:numPr>
              <w:spacing w:before="0" w:after="0"/>
              <w:jc w:val="center"/>
              <w:rPr>
                <w:b w:val="0"/>
              </w:rPr>
            </w:pPr>
            <w:r w:rsidRPr="000D0F45">
              <w:rPr>
                <w:b w:val="0"/>
              </w:rPr>
              <w:t>150 000</w:t>
            </w:r>
          </w:p>
        </w:tc>
        <w:tc>
          <w:tcPr>
            <w:tcW w:w="1843" w:type="dxa"/>
            <w:vAlign w:val="bottom"/>
          </w:tcPr>
          <w:p w:rsidR="000D0F45" w:rsidRPr="000D0F45" w:rsidRDefault="000D0F45" w:rsidP="00D659C0">
            <w:pPr>
              <w:pStyle w:val="11"/>
              <w:numPr>
                <w:ilvl w:val="0"/>
                <w:numId w:val="0"/>
              </w:numPr>
              <w:spacing w:before="0" w:after="0"/>
              <w:jc w:val="center"/>
              <w:rPr>
                <w:b w:val="0"/>
              </w:rPr>
            </w:pPr>
            <w:r w:rsidRPr="000D0F45">
              <w:rPr>
                <w:b w:val="0"/>
              </w:rPr>
              <w:t>50 000</w:t>
            </w:r>
          </w:p>
        </w:tc>
        <w:tc>
          <w:tcPr>
            <w:tcW w:w="1843" w:type="dxa"/>
            <w:vAlign w:val="bottom"/>
          </w:tcPr>
          <w:p w:rsidR="000D0F45" w:rsidRPr="000D0F45" w:rsidRDefault="000D0F45" w:rsidP="00D659C0">
            <w:pPr>
              <w:pStyle w:val="11"/>
              <w:numPr>
                <w:ilvl w:val="0"/>
                <w:numId w:val="0"/>
              </w:numPr>
              <w:spacing w:before="0" w:after="0"/>
              <w:jc w:val="center"/>
              <w:rPr>
                <w:b w:val="0"/>
              </w:rPr>
            </w:pPr>
            <w:r w:rsidRPr="000D0F45">
              <w:rPr>
                <w:b w:val="0"/>
              </w:rPr>
              <w:t>100 000</w:t>
            </w:r>
          </w:p>
        </w:tc>
      </w:tr>
      <w:tr w:rsidR="000D0F45" w:rsidTr="00E518C5">
        <w:tc>
          <w:tcPr>
            <w:tcW w:w="1842" w:type="dxa"/>
            <w:vAlign w:val="bottom"/>
          </w:tcPr>
          <w:p w:rsidR="000D0F45" w:rsidRPr="000D0F45" w:rsidRDefault="000D0F45" w:rsidP="00D659C0">
            <w:pPr>
              <w:pStyle w:val="11"/>
              <w:numPr>
                <w:ilvl w:val="0"/>
                <w:numId w:val="0"/>
              </w:numPr>
              <w:spacing w:before="0" w:after="0"/>
              <w:jc w:val="center"/>
              <w:rPr>
                <w:b w:val="0"/>
              </w:rPr>
            </w:pPr>
            <w:r w:rsidRPr="000D0F45">
              <w:rPr>
                <w:b w:val="0"/>
              </w:rPr>
              <w:t>Seine-Mar.</w:t>
            </w:r>
          </w:p>
        </w:tc>
        <w:tc>
          <w:tcPr>
            <w:tcW w:w="1842" w:type="dxa"/>
            <w:vAlign w:val="bottom"/>
          </w:tcPr>
          <w:p w:rsidR="000D0F45" w:rsidRPr="000D0F45" w:rsidRDefault="000D0F45" w:rsidP="00D659C0">
            <w:pPr>
              <w:pStyle w:val="11"/>
              <w:numPr>
                <w:ilvl w:val="0"/>
                <w:numId w:val="0"/>
              </w:numPr>
              <w:spacing w:before="0" w:after="0"/>
              <w:jc w:val="center"/>
              <w:rPr>
                <w:b w:val="0"/>
              </w:rPr>
            </w:pPr>
            <w:r w:rsidRPr="000D0F45">
              <w:rPr>
                <w:b w:val="0"/>
              </w:rPr>
              <w:t>25</w:t>
            </w:r>
          </w:p>
        </w:tc>
        <w:tc>
          <w:tcPr>
            <w:tcW w:w="1842" w:type="dxa"/>
            <w:vAlign w:val="bottom"/>
          </w:tcPr>
          <w:p w:rsidR="000D0F45" w:rsidRPr="000D0F45" w:rsidRDefault="000D0F45" w:rsidP="00D659C0">
            <w:pPr>
              <w:pStyle w:val="11"/>
              <w:numPr>
                <w:ilvl w:val="0"/>
                <w:numId w:val="0"/>
              </w:numPr>
              <w:spacing w:before="0" w:after="0"/>
              <w:jc w:val="center"/>
              <w:rPr>
                <w:b w:val="0"/>
              </w:rPr>
            </w:pPr>
            <w:r w:rsidRPr="000D0F45">
              <w:rPr>
                <w:b w:val="0"/>
              </w:rPr>
              <w:t>375 000</w:t>
            </w:r>
          </w:p>
        </w:tc>
        <w:tc>
          <w:tcPr>
            <w:tcW w:w="1843" w:type="dxa"/>
            <w:vAlign w:val="bottom"/>
          </w:tcPr>
          <w:p w:rsidR="000D0F45" w:rsidRPr="000D0F45" w:rsidRDefault="000D0F45" w:rsidP="00D659C0">
            <w:pPr>
              <w:pStyle w:val="11"/>
              <w:numPr>
                <w:ilvl w:val="0"/>
                <w:numId w:val="0"/>
              </w:numPr>
              <w:spacing w:before="0" w:after="0"/>
              <w:jc w:val="center"/>
              <w:rPr>
                <w:b w:val="0"/>
              </w:rPr>
            </w:pPr>
            <w:r w:rsidRPr="000D0F45">
              <w:rPr>
                <w:b w:val="0"/>
              </w:rPr>
              <w:t>330 000</w:t>
            </w:r>
          </w:p>
        </w:tc>
        <w:tc>
          <w:tcPr>
            <w:tcW w:w="1843" w:type="dxa"/>
            <w:vAlign w:val="bottom"/>
          </w:tcPr>
          <w:p w:rsidR="000D0F45" w:rsidRPr="000D0F45" w:rsidRDefault="000D0F45" w:rsidP="00D659C0">
            <w:pPr>
              <w:pStyle w:val="11"/>
              <w:numPr>
                <w:ilvl w:val="0"/>
                <w:numId w:val="0"/>
              </w:numPr>
              <w:spacing w:before="0" w:after="0"/>
              <w:jc w:val="center"/>
              <w:rPr>
                <w:b w:val="0"/>
              </w:rPr>
            </w:pPr>
            <w:r w:rsidRPr="000D0F45">
              <w:rPr>
                <w:b w:val="0"/>
              </w:rPr>
              <w:t>45 000</w:t>
            </w:r>
          </w:p>
        </w:tc>
      </w:tr>
      <w:tr w:rsidR="000D0F45" w:rsidTr="00E518C5">
        <w:tc>
          <w:tcPr>
            <w:tcW w:w="1842" w:type="dxa"/>
            <w:vAlign w:val="bottom"/>
          </w:tcPr>
          <w:p w:rsidR="000D0F45" w:rsidRPr="000D0F45" w:rsidRDefault="000D0F45" w:rsidP="00D659C0">
            <w:pPr>
              <w:pStyle w:val="11"/>
              <w:numPr>
                <w:ilvl w:val="0"/>
                <w:numId w:val="0"/>
              </w:numPr>
              <w:spacing w:before="0" w:after="0"/>
              <w:jc w:val="center"/>
              <w:rPr>
                <w:b w:val="0"/>
              </w:rPr>
            </w:pPr>
            <w:r w:rsidRPr="000D0F45">
              <w:rPr>
                <w:b w:val="0"/>
              </w:rPr>
              <w:t>Normandie</w:t>
            </w:r>
          </w:p>
        </w:tc>
        <w:tc>
          <w:tcPr>
            <w:tcW w:w="1842" w:type="dxa"/>
            <w:vAlign w:val="bottom"/>
          </w:tcPr>
          <w:p w:rsidR="000D0F45" w:rsidRPr="000D0F45" w:rsidRDefault="000D0F45" w:rsidP="00D659C0">
            <w:pPr>
              <w:pStyle w:val="11"/>
              <w:numPr>
                <w:ilvl w:val="0"/>
                <w:numId w:val="0"/>
              </w:numPr>
              <w:spacing w:before="0" w:after="0"/>
              <w:jc w:val="center"/>
              <w:rPr>
                <w:b w:val="0"/>
              </w:rPr>
            </w:pPr>
            <w:r w:rsidRPr="000D0F45">
              <w:rPr>
                <w:b w:val="0"/>
              </w:rPr>
              <w:t>70</w:t>
            </w:r>
          </w:p>
        </w:tc>
        <w:tc>
          <w:tcPr>
            <w:tcW w:w="1842" w:type="dxa"/>
            <w:vAlign w:val="bottom"/>
          </w:tcPr>
          <w:p w:rsidR="000D0F45" w:rsidRPr="000D0F45" w:rsidRDefault="000D0F45" w:rsidP="00D659C0">
            <w:pPr>
              <w:pStyle w:val="11"/>
              <w:numPr>
                <w:ilvl w:val="0"/>
                <w:numId w:val="0"/>
              </w:numPr>
              <w:spacing w:before="0" w:after="0"/>
              <w:jc w:val="center"/>
              <w:rPr>
                <w:b w:val="0"/>
              </w:rPr>
            </w:pPr>
            <w:r w:rsidRPr="000D0F45">
              <w:rPr>
                <w:b w:val="0"/>
              </w:rPr>
              <w:t>1 050 000</w:t>
            </w:r>
          </w:p>
        </w:tc>
        <w:tc>
          <w:tcPr>
            <w:tcW w:w="1843" w:type="dxa"/>
            <w:vAlign w:val="bottom"/>
          </w:tcPr>
          <w:p w:rsidR="000D0F45" w:rsidRPr="000D0F45" w:rsidRDefault="000D0F45" w:rsidP="00D659C0">
            <w:pPr>
              <w:pStyle w:val="11"/>
              <w:numPr>
                <w:ilvl w:val="0"/>
                <w:numId w:val="0"/>
              </w:numPr>
              <w:spacing w:before="0" w:after="0"/>
              <w:jc w:val="center"/>
              <w:rPr>
                <w:b w:val="0"/>
              </w:rPr>
            </w:pPr>
            <w:r w:rsidRPr="000D0F45">
              <w:rPr>
                <w:b w:val="0"/>
              </w:rPr>
              <w:t>800 000</w:t>
            </w:r>
          </w:p>
        </w:tc>
        <w:tc>
          <w:tcPr>
            <w:tcW w:w="1843" w:type="dxa"/>
            <w:vAlign w:val="bottom"/>
          </w:tcPr>
          <w:p w:rsidR="000D0F45" w:rsidRPr="000D0F45" w:rsidRDefault="000D0F45" w:rsidP="00D659C0">
            <w:pPr>
              <w:pStyle w:val="11"/>
              <w:numPr>
                <w:ilvl w:val="0"/>
                <w:numId w:val="0"/>
              </w:numPr>
              <w:spacing w:before="0" w:after="0"/>
              <w:jc w:val="center"/>
              <w:rPr>
                <w:b w:val="0"/>
              </w:rPr>
            </w:pPr>
            <w:r w:rsidRPr="000D0F45">
              <w:rPr>
                <w:b w:val="0"/>
              </w:rPr>
              <w:t>250 000</w:t>
            </w:r>
          </w:p>
        </w:tc>
      </w:tr>
    </w:tbl>
    <w:p w:rsidR="000D0F45" w:rsidRDefault="000D0F45" w:rsidP="007C51E1">
      <w:pPr>
        <w:pStyle w:val="11"/>
        <w:numPr>
          <w:ilvl w:val="0"/>
          <w:numId w:val="0"/>
        </w:numPr>
        <w:spacing w:before="0" w:after="0"/>
        <w:rPr>
          <w:b w:val="0"/>
        </w:rPr>
      </w:pPr>
    </w:p>
    <w:p w:rsidR="00C46DBC" w:rsidRPr="00D659C0" w:rsidRDefault="00C46DBC" w:rsidP="007C51E1">
      <w:pPr>
        <w:pStyle w:val="11"/>
        <w:numPr>
          <w:ilvl w:val="0"/>
          <w:numId w:val="0"/>
        </w:numPr>
        <w:spacing w:before="0" w:after="0"/>
        <w:rPr>
          <w:b w:val="0"/>
        </w:rPr>
      </w:pPr>
      <w:r w:rsidRPr="00D659C0">
        <w:rPr>
          <w:b w:val="0"/>
        </w:rPr>
        <w:t>Le nombre de places ci-dessus a été réparti en fonction du nombre de personnes de plus de 75</w:t>
      </w:r>
      <w:r w:rsidR="00D1364A" w:rsidRPr="00D659C0">
        <w:rPr>
          <w:b w:val="0"/>
        </w:rPr>
        <w:t xml:space="preserve"> ans avec un nombre minimum attendu de 10 places par département. </w:t>
      </w:r>
      <w:r w:rsidRPr="00D659C0">
        <w:rPr>
          <w:b w:val="0"/>
        </w:rPr>
        <w:t xml:space="preserve">Un redéploiement de moyens est attendu </w:t>
      </w:r>
      <w:r w:rsidR="00D1364A" w:rsidRPr="00D659C0">
        <w:rPr>
          <w:b w:val="0"/>
        </w:rPr>
        <w:t xml:space="preserve">dans tous les départements. Son ampleur dépend de l’écart au taux d’équipement </w:t>
      </w:r>
      <w:r w:rsidR="00DD2B62" w:rsidRPr="00D659C0">
        <w:rPr>
          <w:b w:val="0"/>
        </w:rPr>
        <w:t xml:space="preserve">régional </w:t>
      </w:r>
      <w:r w:rsidR="00D1364A" w:rsidRPr="00D659C0">
        <w:rPr>
          <w:b w:val="0"/>
        </w:rPr>
        <w:t>en place d’hébergement permanent et temporaire.</w:t>
      </w:r>
    </w:p>
    <w:p w:rsidR="00644A38" w:rsidRPr="00D659C0" w:rsidRDefault="00644A38" w:rsidP="007C51E1">
      <w:pPr>
        <w:pStyle w:val="11"/>
        <w:numPr>
          <w:ilvl w:val="0"/>
          <w:numId w:val="0"/>
        </w:numPr>
        <w:spacing w:before="0" w:after="0"/>
        <w:rPr>
          <w:b w:val="0"/>
        </w:rPr>
      </w:pPr>
    </w:p>
    <w:p w:rsidR="00FA01A6" w:rsidRDefault="00FA01A6" w:rsidP="007C51E1">
      <w:pPr>
        <w:pStyle w:val="11"/>
        <w:numPr>
          <w:ilvl w:val="0"/>
          <w:numId w:val="0"/>
        </w:numPr>
        <w:spacing w:before="0" w:after="0"/>
        <w:rPr>
          <w:b w:val="0"/>
        </w:rPr>
      </w:pPr>
      <w:r>
        <w:rPr>
          <w:b w:val="0"/>
        </w:rPr>
        <w:t>L’enveloppe attribuée (B) correspond aux mesures nouvelles mobilisées par transformer une place d’hébergement d’hébergement temporaire en place d’hébergement temporaire en sortie d’hospitalisation. Dans ce cas, les mesures nouvelles</w:t>
      </w:r>
      <w:r w:rsidR="001C188D">
        <w:rPr>
          <w:b w:val="0"/>
        </w:rPr>
        <w:t>,</w:t>
      </w:r>
      <w:r>
        <w:rPr>
          <w:b w:val="0"/>
        </w:rPr>
        <w:t xml:space="preserve"> permettant de diminuer le reste à charge du résident</w:t>
      </w:r>
      <w:r w:rsidR="001C188D">
        <w:rPr>
          <w:b w:val="0"/>
        </w:rPr>
        <w:t>,</w:t>
      </w:r>
      <w:r>
        <w:rPr>
          <w:b w:val="0"/>
        </w:rPr>
        <w:t xml:space="preserve"> s’ajoutent à la dotation soins existante de la place d’hébergement</w:t>
      </w:r>
      <w:r w:rsidR="001C188D">
        <w:rPr>
          <w:b w:val="0"/>
        </w:rPr>
        <w:t xml:space="preserve"> temporaire.</w:t>
      </w:r>
    </w:p>
    <w:p w:rsidR="001C188D" w:rsidRDefault="00FA01A6" w:rsidP="007C51E1">
      <w:pPr>
        <w:pStyle w:val="11"/>
        <w:numPr>
          <w:ilvl w:val="0"/>
          <w:numId w:val="0"/>
        </w:numPr>
        <w:spacing w:before="0" w:after="0"/>
        <w:rPr>
          <w:b w:val="0"/>
        </w:rPr>
      </w:pPr>
      <w:r>
        <w:rPr>
          <w:b w:val="0"/>
        </w:rPr>
        <w:t xml:space="preserve">Le redéploiement  (C) signifie que des places </w:t>
      </w:r>
      <w:r w:rsidR="001C188D">
        <w:rPr>
          <w:b w:val="0"/>
        </w:rPr>
        <w:t xml:space="preserve">d’hébergement permanent ou d’hébergement temporaire sont supprimées pour être redéployées sur le projet d’hébergement temporaire en sortie d’hospitalisation. Dans ce cas, ces dotations soins </w:t>
      </w:r>
      <w:r w:rsidR="006E11A5">
        <w:rPr>
          <w:b w:val="0"/>
        </w:rPr>
        <w:t xml:space="preserve">existantes </w:t>
      </w:r>
      <w:r w:rsidR="001C188D">
        <w:rPr>
          <w:b w:val="0"/>
        </w:rPr>
        <w:t xml:space="preserve">sont mobilisées pour diminuer </w:t>
      </w:r>
      <w:r w:rsidR="006E11A5">
        <w:rPr>
          <w:b w:val="0"/>
        </w:rPr>
        <w:t xml:space="preserve">le reste à charge. </w:t>
      </w:r>
      <w:r w:rsidR="007723EA">
        <w:rPr>
          <w:b w:val="0"/>
        </w:rPr>
        <w:t>L’ARS privilégiera les projets incluant du redéploiement.</w:t>
      </w:r>
    </w:p>
    <w:p w:rsidR="006E11A5" w:rsidRDefault="006E11A5" w:rsidP="007C51E1">
      <w:pPr>
        <w:pStyle w:val="11"/>
        <w:numPr>
          <w:ilvl w:val="0"/>
          <w:numId w:val="0"/>
        </w:numPr>
        <w:spacing w:before="0" w:after="0"/>
        <w:rPr>
          <w:b w:val="0"/>
        </w:rPr>
      </w:pPr>
    </w:p>
    <w:p w:rsidR="006E11A5" w:rsidRPr="00D659C0" w:rsidRDefault="006E11A5" w:rsidP="007C51E1">
      <w:pPr>
        <w:pStyle w:val="11"/>
        <w:numPr>
          <w:ilvl w:val="0"/>
          <w:numId w:val="0"/>
        </w:numPr>
        <w:spacing w:before="0" w:after="0"/>
        <w:rPr>
          <w:b w:val="0"/>
        </w:rPr>
      </w:pPr>
      <w:r>
        <w:rPr>
          <w:noProof/>
          <w:lang w:eastAsia="fr-FR"/>
        </w:rPr>
        <w:drawing>
          <wp:inline distT="0" distB="0" distL="0" distR="0" wp14:anchorId="1E249650" wp14:editId="03A94AB2">
            <wp:extent cx="5760720" cy="3293765"/>
            <wp:effectExtent l="0" t="0" r="11430" b="2095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59C0" w:rsidRDefault="00D659C0" w:rsidP="00697C36">
      <w:pPr>
        <w:pStyle w:val="11"/>
        <w:numPr>
          <w:ilvl w:val="0"/>
          <w:numId w:val="0"/>
        </w:numPr>
        <w:spacing w:before="0" w:after="0"/>
        <w:rPr>
          <w:b w:val="0"/>
        </w:rPr>
      </w:pPr>
    </w:p>
    <w:p w:rsidR="00347E71" w:rsidRDefault="00347E71" w:rsidP="00697C36">
      <w:pPr>
        <w:pStyle w:val="11"/>
        <w:numPr>
          <w:ilvl w:val="0"/>
          <w:numId w:val="0"/>
        </w:numPr>
        <w:spacing w:before="0" w:after="0"/>
        <w:rPr>
          <w:b w:val="0"/>
        </w:rPr>
      </w:pPr>
    </w:p>
    <w:p w:rsidR="00347E71" w:rsidRDefault="00347E71" w:rsidP="00697C36">
      <w:pPr>
        <w:pStyle w:val="11"/>
        <w:numPr>
          <w:ilvl w:val="0"/>
          <w:numId w:val="0"/>
        </w:numPr>
        <w:spacing w:before="0" w:after="0"/>
        <w:rPr>
          <w:b w:val="0"/>
        </w:rPr>
      </w:pPr>
    </w:p>
    <w:p w:rsidR="00347E71" w:rsidRDefault="00347E71" w:rsidP="00697C36">
      <w:pPr>
        <w:pStyle w:val="11"/>
        <w:numPr>
          <w:ilvl w:val="0"/>
          <w:numId w:val="0"/>
        </w:numPr>
        <w:spacing w:before="0" w:after="0"/>
        <w:rPr>
          <w:b w:val="0"/>
        </w:rPr>
      </w:pPr>
    </w:p>
    <w:p w:rsidR="00347E71" w:rsidRDefault="00347E71" w:rsidP="00697C36">
      <w:pPr>
        <w:pStyle w:val="11"/>
        <w:numPr>
          <w:ilvl w:val="0"/>
          <w:numId w:val="0"/>
        </w:numPr>
        <w:spacing w:before="0" w:after="0"/>
        <w:rPr>
          <w:b w:val="0"/>
        </w:rPr>
      </w:pPr>
    </w:p>
    <w:p w:rsidR="00347E71" w:rsidRDefault="00347E71" w:rsidP="00697C36">
      <w:pPr>
        <w:pStyle w:val="11"/>
        <w:numPr>
          <w:ilvl w:val="0"/>
          <w:numId w:val="0"/>
        </w:numPr>
        <w:spacing w:before="0" w:after="0"/>
        <w:rPr>
          <w:b w:val="0"/>
        </w:rPr>
      </w:pPr>
    </w:p>
    <w:p w:rsidR="00347E71" w:rsidRDefault="00812A48" w:rsidP="00697C36">
      <w:pPr>
        <w:pStyle w:val="11"/>
        <w:numPr>
          <w:ilvl w:val="0"/>
          <w:numId w:val="0"/>
        </w:numPr>
        <w:spacing w:before="0" w:after="0"/>
        <w:rPr>
          <w:b w:val="0"/>
        </w:rPr>
      </w:pPr>
      <w:r>
        <w:rPr>
          <w:noProof/>
          <w:lang w:eastAsia="fr-FR"/>
        </w:rPr>
        <w:drawing>
          <wp:inline distT="0" distB="0" distL="0" distR="0" wp14:anchorId="1AE801E4" wp14:editId="1C3A5FFF">
            <wp:extent cx="5727700" cy="3371850"/>
            <wp:effectExtent l="0" t="0" r="25400" b="1905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7E71" w:rsidRDefault="00347E71" w:rsidP="00697C36">
      <w:pPr>
        <w:pStyle w:val="11"/>
        <w:numPr>
          <w:ilvl w:val="0"/>
          <w:numId w:val="0"/>
        </w:numPr>
        <w:spacing w:before="0" w:after="0"/>
        <w:rPr>
          <w:b w:val="0"/>
        </w:rPr>
      </w:pPr>
    </w:p>
    <w:p w:rsidR="00870590" w:rsidRDefault="00697C36" w:rsidP="00264059">
      <w:pPr>
        <w:pStyle w:val="11"/>
        <w:numPr>
          <w:ilvl w:val="0"/>
          <w:numId w:val="0"/>
        </w:numPr>
        <w:spacing w:before="0" w:after="0"/>
        <w:rPr>
          <w:sz w:val="24"/>
          <w:szCs w:val="24"/>
        </w:rPr>
      </w:pPr>
      <w:r>
        <w:rPr>
          <w:b w:val="0"/>
        </w:rPr>
        <w:t>A l’issue de la période de 30 jours pris en charge financièrement par l’ARS Normandie, le tarif hébergement appliqué sera celui habituellement pratiqué par l’EHPAD candidat</w:t>
      </w:r>
      <w:r w:rsidR="000D0EC3">
        <w:rPr>
          <w:b w:val="0"/>
        </w:rPr>
        <w:t xml:space="preserve">, hors subvention de l’ARS sur ce même tarif. </w:t>
      </w:r>
    </w:p>
    <w:p w:rsidR="007C51E1" w:rsidRDefault="007C51E1" w:rsidP="00264059">
      <w:pPr>
        <w:pStyle w:val="11"/>
        <w:numPr>
          <w:ilvl w:val="0"/>
          <w:numId w:val="0"/>
        </w:numPr>
        <w:spacing w:before="0" w:after="0"/>
        <w:rPr>
          <w:sz w:val="24"/>
          <w:szCs w:val="24"/>
        </w:rPr>
      </w:pPr>
    </w:p>
    <w:p w:rsidR="00870590" w:rsidRDefault="00870590" w:rsidP="000D0EC3">
      <w:pPr>
        <w:pStyle w:val="11"/>
        <w:numPr>
          <w:ilvl w:val="0"/>
          <w:numId w:val="22"/>
        </w:numPr>
        <w:pBdr>
          <w:bottom w:val="single" w:sz="4" w:space="1" w:color="auto"/>
        </w:pBdr>
        <w:spacing w:before="0" w:after="0"/>
        <w:jc w:val="left"/>
        <w:rPr>
          <w:color w:val="17365D" w:themeColor="text2" w:themeShade="BF"/>
          <w:sz w:val="22"/>
          <w:szCs w:val="22"/>
        </w:rPr>
      </w:pPr>
      <w:r>
        <w:rPr>
          <w:color w:val="17365D" w:themeColor="text2" w:themeShade="BF"/>
          <w:sz w:val="22"/>
          <w:szCs w:val="22"/>
        </w:rPr>
        <w:t>Evaluation de l’activité</w:t>
      </w:r>
    </w:p>
    <w:p w:rsidR="00870590" w:rsidRPr="00712888" w:rsidRDefault="00870590" w:rsidP="000D0EC3">
      <w:pPr>
        <w:pStyle w:val="Paragraphedeliste"/>
        <w:spacing w:after="0"/>
        <w:rPr>
          <w:rFonts w:ascii="Arial" w:eastAsiaTheme="majorEastAsia" w:hAnsi="Arial" w:cs="Arial"/>
          <w:bCs/>
          <w:sz w:val="20"/>
          <w:szCs w:val="20"/>
        </w:rPr>
      </w:pPr>
    </w:p>
    <w:p w:rsidR="00712888" w:rsidRDefault="00712888" w:rsidP="00712888">
      <w:pPr>
        <w:pStyle w:val="Paragraphedeliste"/>
        <w:spacing w:after="0"/>
        <w:ind w:left="0"/>
        <w:rPr>
          <w:rFonts w:ascii="Arial" w:eastAsiaTheme="majorEastAsia" w:hAnsi="Arial" w:cs="Arial"/>
          <w:bCs/>
          <w:sz w:val="20"/>
          <w:szCs w:val="20"/>
        </w:rPr>
      </w:pPr>
      <w:r w:rsidRPr="00712888">
        <w:rPr>
          <w:rFonts w:ascii="Arial" w:eastAsiaTheme="majorEastAsia" w:hAnsi="Arial" w:cs="Arial"/>
          <w:bCs/>
          <w:sz w:val="20"/>
          <w:szCs w:val="20"/>
        </w:rPr>
        <w:t>Le ou les</w:t>
      </w:r>
      <w:r>
        <w:rPr>
          <w:rFonts w:ascii="Arial" w:eastAsiaTheme="majorEastAsia" w:hAnsi="Arial" w:cs="Arial"/>
          <w:bCs/>
          <w:sz w:val="20"/>
          <w:szCs w:val="20"/>
        </w:rPr>
        <w:t xml:space="preserve"> EHPAD qui seront retenus devront présenter à l’ARS Normandie avant l’ouverture du dispositif :</w:t>
      </w:r>
    </w:p>
    <w:p w:rsidR="00712888" w:rsidRDefault="00712888" w:rsidP="00712888">
      <w:pPr>
        <w:pStyle w:val="Paragraphedeliste"/>
        <w:spacing w:after="0"/>
        <w:ind w:left="0"/>
        <w:rPr>
          <w:rFonts w:ascii="Arial" w:eastAsiaTheme="majorEastAsia" w:hAnsi="Arial" w:cs="Arial"/>
          <w:bCs/>
          <w:sz w:val="20"/>
          <w:szCs w:val="20"/>
        </w:rPr>
      </w:pPr>
    </w:p>
    <w:p w:rsidR="00712888" w:rsidRDefault="00712888" w:rsidP="00712888">
      <w:pPr>
        <w:pStyle w:val="Paragraphedeliste"/>
        <w:numPr>
          <w:ilvl w:val="0"/>
          <w:numId w:val="26"/>
        </w:numPr>
        <w:spacing w:after="0"/>
        <w:rPr>
          <w:rFonts w:ascii="Arial" w:eastAsiaTheme="majorEastAsia" w:hAnsi="Arial" w:cs="Arial"/>
          <w:bCs/>
          <w:sz w:val="20"/>
          <w:szCs w:val="20"/>
        </w:rPr>
      </w:pPr>
      <w:r>
        <w:rPr>
          <w:rFonts w:ascii="Arial" w:eastAsiaTheme="majorEastAsia" w:hAnsi="Arial" w:cs="Arial"/>
          <w:bCs/>
          <w:sz w:val="20"/>
          <w:szCs w:val="20"/>
        </w:rPr>
        <w:t>les profils des personnes âgées compatibles avec le</w:t>
      </w:r>
      <w:r w:rsidR="00260754">
        <w:rPr>
          <w:rFonts w:ascii="Arial" w:eastAsiaTheme="majorEastAsia" w:hAnsi="Arial" w:cs="Arial"/>
          <w:bCs/>
          <w:sz w:val="20"/>
          <w:szCs w:val="20"/>
        </w:rPr>
        <w:t>s objectifs</w:t>
      </w:r>
      <w:r>
        <w:rPr>
          <w:rFonts w:ascii="Arial" w:eastAsiaTheme="majorEastAsia" w:hAnsi="Arial" w:cs="Arial"/>
          <w:bCs/>
          <w:sz w:val="20"/>
          <w:szCs w:val="20"/>
        </w:rPr>
        <w:t>,</w:t>
      </w:r>
    </w:p>
    <w:p w:rsidR="00712888" w:rsidRDefault="00712888" w:rsidP="00712888">
      <w:pPr>
        <w:pStyle w:val="Paragraphedeliste"/>
        <w:numPr>
          <w:ilvl w:val="0"/>
          <w:numId w:val="26"/>
        </w:numPr>
        <w:spacing w:after="0"/>
        <w:rPr>
          <w:rFonts w:ascii="Arial" w:eastAsiaTheme="majorEastAsia" w:hAnsi="Arial" w:cs="Arial"/>
          <w:bCs/>
          <w:sz w:val="20"/>
          <w:szCs w:val="20"/>
        </w:rPr>
      </w:pPr>
      <w:r>
        <w:rPr>
          <w:rFonts w:ascii="Arial" w:eastAsiaTheme="majorEastAsia" w:hAnsi="Arial" w:cs="Arial"/>
          <w:bCs/>
          <w:sz w:val="20"/>
          <w:szCs w:val="20"/>
        </w:rPr>
        <w:t>les modalités d’adressage des personnes âgées hospitalisées à l’EHPAD : fiche descriptive des personnes, demande d’accord du médecin coordinateur en lien avec le médecin traitant de la personne concernée,…</w:t>
      </w:r>
    </w:p>
    <w:p w:rsidR="00712888" w:rsidRDefault="00712888" w:rsidP="00712888">
      <w:pPr>
        <w:pStyle w:val="Paragraphedeliste"/>
        <w:numPr>
          <w:ilvl w:val="0"/>
          <w:numId w:val="26"/>
        </w:numPr>
        <w:spacing w:after="0"/>
        <w:rPr>
          <w:rFonts w:ascii="Arial" w:eastAsiaTheme="majorEastAsia" w:hAnsi="Arial" w:cs="Arial"/>
          <w:bCs/>
          <w:sz w:val="20"/>
          <w:szCs w:val="20"/>
        </w:rPr>
      </w:pPr>
      <w:r>
        <w:rPr>
          <w:rFonts w:ascii="Arial" w:eastAsiaTheme="majorEastAsia" w:hAnsi="Arial" w:cs="Arial"/>
          <w:bCs/>
          <w:sz w:val="20"/>
          <w:szCs w:val="20"/>
        </w:rPr>
        <w:t>les modalités de sortie de l’hébergement temporaire : fiche de liaison avec les partenaires du domicile, etc…</w:t>
      </w:r>
    </w:p>
    <w:p w:rsidR="00712888" w:rsidRDefault="00712888" w:rsidP="00712888">
      <w:pPr>
        <w:spacing w:after="0"/>
        <w:rPr>
          <w:rFonts w:ascii="Arial" w:eastAsiaTheme="majorEastAsia" w:hAnsi="Arial" w:cs="Arial"/>
          <w:bCs/>
          <w:sz w:val="20"/>
          <w:szCs w:val="20"/>
        </w:rPr>
      </w:pPr>
    </w:p>
    <w:p w:rsidR="00712888" w:rsidRDefault="00712888" w:rsidP="00712888">
      <w:pPr>
        <w:spacing w:after="0"/>
        <w:rPr>
          <w:rFonts w:ascii="Arial" w:eastAsiaTheme="majorEastAsia" w:hAnsi="Arial" w:cs="Arial"/>
          <w:bCs/>
          <w:sz w:val="20"/>
          <w:szCs w:val="20"/>
        </w:rPr>
      </w:pPr>
      <w:r>
        <w:rPr>
          <w:rFonts w:ascii="Arial" w:eastAsiaTheme="majorEastAsia" w:hAnsi="Arial" w:cs="Arial"/>
          <w:bCs/>
          <w:sz w:val="20"/>
          <w:szCs w:val="20"/>
        </w:rPr>
        <w:t>Plusieurs marqueurs permettront d’évaluer l’activité mise en œuvre. Ceux-ci seront détaillés dans les conventions entre l’ARS et les EHPAD candidats retenus. Ils contiendront notamment :</w:t>
      </w:r>
    </w:p>
    <w:p w:rsidR="00712888" w:rsidRDefault="00712888" w:rsidP="00712888">
      <w:pPr>
        <w:spacing w:after="0"/>
        <w:rPr>
          <w:rFonts w:ascii="Arial" w:eastAsiaTheme="majorEastAsia" w:hAnsi="Arial" w:cs="Arial"/>
          <w:bCs/>
          <w:sz w:val="20"/>
          <w:szCs w:val="20"/>
        </w:rPr>
      </w:pPr>
    </w:p>
    <w:p w:rsidR="00712888" w:rsidRDefault="00712888" w:rsidP="00712888">
      <w:pPr>
        <w:pStyle w:val="Paragraphedeliste"/>
        <w:numPr>
          <w:ilvl w:val="0"/>
          <w:numId w:val="27"/>
        </w:numPr>
        <w:spacing w:after="0"/>
        <w:rPr>
          <w:rFonts w:ascii="Arial" w:eastAsiaTheme="majorEastAsia" w:hAnsi="Arial" w:cs="Arial"/>
          <w:bCs/>
          <w:sz w:val="20"/>
          <w:szCs w:val="20"/>
        </w:rPr>
      </w:pPr>
      <w:r>
        <w:rPr>
          <w:rFonts w:ascii="Arial" w:eastAsiaTheme="majorEastAsia" w:hAnsi="Arial" w:cs="Arial"/>
          <w:bCs/>
          <w:sz w:val="20"/>
          <w:szCs w:val="20"/>
        </w:rPr>
        <w:t xml:space="preserve">des indicateurs </w:t>
      </w:r>
      <w:r w:rsidR="007723EA">
        <w:rPr>
          <w:rFonts w:ascii="Arial" w:eastAsiaTheme="majorEastAsia" w:hAnsi="Arial" w:cs="Arial"/>
          <w:bCs/>
          <w:sz w:val="20"/>
          <w:szCs w:val="20"/>
        </w:rPr>
        <w:t>trimestriels à remonter à l’ARS et au Département</w:t>
      </w:r>
    </w:p>
    <w:p w:rsidR="00712888" w:rsidRPr="00260754" w:rsidRDefault="00712888" w:rsidP="00260754">
      <w:pPr>
        <w:pStyle w:val="Paragraphedeliste"/>
        <w:numPr>
          <w:ilvl w:val="0"/>
          <w:numId w:val="27"/>
        </w:numPr>
        <w:spacing w:after="0"/>
        <w:rPr>
          <w:rFonts w:ascii="Arial" w:eastAsiaTheme="majorEastAsia" w:hAnsi="Arial" w:cs="Arial"/>
          <w:bCs/>
          <w:sz w:val="20"/>
          <w:szCs w:val="20"/>
        </w:rPr>
      </w:pPr>
      <w:r>
        <w:rPr>
          <w:rFonts w:ascii="Arial" w:eastAsiaTheme="majorEastAsia" w:hAnsi="Arial" w:cs="Arial"/>
          <w:bCs/>
          <w:sz w:val="20"/>
          <w:szCs w:val="20"/>
        </w:rPr>
        <w:t>un rapport d’activité annuel,</w:t>
      </w:r>
    </w:p>
    <w:p w:rsidR="00712888" w:rsidRPr="00712888" w:rsidRDefault="00712888" w:rsidP="00712888">
      <w:pPr>
        <w:pStyle w:val="Paragraphedeliste"/>
        <w:numPr>
          <w:ilvl w:val="0"/>
          <w:numId w:val="27"/>
        </w:numPr>
        <w:spacing w:after="0"/>
        <w:rPr>
          <w:rFonts w:ascii="Arial" w:eastAsiaTheme="majorEastAsia" w:hAnsi="Arial" w:cs="Arial"/>
          <w:bCs/>
          <w:sz w:val="20"/>
          <w:szCs w:val="20"/>
        </w:rPr>
      </w:pPr>
      <w:r>
        <w:rPr>
          <w:rFonts w:ascii="Arial" w:eastAsiaTheme="majorEastAsia" w:hAnsi="Arial" w:cs="Arial"/>
          <w:bCs/>
          <w:sz w:val="20"/>
          <w:szCs w:val="20"/>
        </w:rPr>
        <w:t>des visi</w:t>
      </w:r>
      <w:r w:rsidR="007723EA">
        <w:rPr>
          <w:rFonts w:ascii="Arial" w:eastAsiaTheme="majorEastAsia" w:hAnsi="Arial" w:cs="Arial"/>
          <w:bCs/>
          <w:sz w:val="20"/>
          <w:szCs w:val="20"/>
        </w:rPr>
        <w:t>tes de terrain menées par l’ARS et au Département</w:t>
      </w:r>
    </w:p>
    <w:p w:rsidR="00870590" w:rsidRDefault="00870590" w:rsidP="000D0EC3">
      <w:pPr>
        <w:pStyle w:val="Paragraphedeliste"/>
        <w:spacing w:after="0"/>
        <w:rPr>
          <w:color w:val="17365D" w:themeColor="text2" w:themeShade="BF"/>
        </w:rPr>
      </w:pPr>
    </w:p>
    <w:p w:rsidR="007C51E1" w:rsidRDefault="007C51E1" w:rsidP="000D0EC3">
      <w:pPr>
        <w:pStyle w:val="Paragraphedeliste"/>
        <w:spacing w:after="0"/>
        <w:rPr>
          <w:color w:val="17365D" w:themeColor="text2" w:themeShade="BF"/>
        </w:rPr>
      </w:pPr>
    </w:p>
    <w:p w:rsidR="00870590" w:rsidRPr="006B102B" w:rsidRDefault="00870590" w:rsidP="000D0EC3">
      <w:pPr>
        <w:pStyle w:val="11"/>
        <w:numPr>
          <w:ilvl w:val="0"/>
          <w:numId w:val="22"/>
        </w:numPr>
        <w:pBdr>
          <w:bottom w:val="single" w:sz="4" w:space="1" w:color="auto"/>
        </w:pBdr>
        <w:spacing w:before="0" w:after="0"/>
        <w:jc w:val="left"/>
        <w:rPr>
          <w:color w:val="17365D" w:themeColor="text2" w:themeShade="BF"/>
          <w:sz w:val="22"/>
          <w:szCs w:val="22"/>
        </w:rPr>
      </w:pPr>
      <w:r>
        <w:rPr>
          <w:color w:val="17365D" w:themeColor="text2" w:themeShade="BF"/>
          <w:sz w:val="22"/>
          <w:szCs w:val="22"/>
        </w:rPr>
        <w:lastRenderedPageBreak/>
        <w:t>Modalités de dépôt des candidatures et processus de sélection</w:t>
      </w:r>
    </w:p>
    <w:p w:rsidR="00870590" w:rsidRDefault="00870590" w:rsidP="000D0EC3">
      <w:pPr>
        <w:pStyle w:val="11"/>
        <w:numPr>
          <w:ilvl w:val="0"/>
          <w:numId w:val="0"/>
        </w:numPr>
        <w:spacing w:before="0" w:after="0"/>
        <w:rPr>
          <w:b w:val="0"/>
        </w:rPr>
      </w:pPr>
    </w:p>
    <w:p w:rsidR="00A60E83" w:rsidRDefault="00743782" w:rsidP="000D0EC3">
      <w:pPr>
        <w:pStyle w:val="11"/>
        <w:numPr>
          <w:ilvl w:val="0"/>
          <w:numId w:val="0"/>
        </w:numPr>
        <w:spacing w:before="0" w:after="0"/>
        <w:rPr>
          <w:b w:val="0"/>
        </w:rPr>
      </w:pPr>
      <w:r w:rsidRPr="00743782">
        <w:rPr>
          <w:b w:val="0"/>
        </w:rPr>
        <w:t xml:space="preserve">Le </w:t>
      </w:r>
      <w:r>
        <w:rPr>
          <w:b w:val="0"/>
        </w:rPr>
        <w:t>dossier de candidature doit être transmis au plus tard</w:t>
      </w:r>
      <w:r w:rsidRPr="00D659C0">
        <w:rPr>
          <w:b w:val="0"/>
        </w:rPr>
        <w:t xml:space="preserve"> le</w:t>
      </w:r>
      <w:r w:rsidRPr="00D659C0">
        <w:t xml:space="preserve"> </w:t>
      </w:r>
      <w:r w:rsidR="00D659C0" w:rsidRPr="00D659C0">
        <w:t xml:space="preserve">27 septembre </w:t>
      </w:r>
      <w:r w:rsidRPr="00D659C0">
        <w:t>2019</w:t>
      </w:r>
      <w:r>
        <w:rPr>
          <w:b w:val="0"/>
        </w:rPr>
        <w:t xml:space="preserve"> : </w:t>
      </w:r>
    </w:p>
    <w:p w:rsidR="00743782" w:rsidRDefault="00743782" w:rsidP="000D0EC3">
      <w:pPr>
        <w:pStyle w:val="11"/>
        <w:numPr>
          <w:ilvl w:val="0"/>
          <w:numId w:val="0"/>
        </w:numPr>
        <w:spacing w:before="0" w:after="0"/>
        <w:rPr>
          <w:b w:val="0"/>
        </w:rPr>
      </w:pPr>
    </w:p>
    <w:p w:rsidR="00743782" w:rsidRDefault="00743782" w:rsidP="000D0EC3">
      <w:pPr>
        <w:pStyle w:val="11"/>
        <w:numPr>
          <w:ilvl w:val="0"/>
          <w:numId w:val="18"/>
        </w:numPr>
        <w:spacing w:before="0" w:after="0"/>
        <w:rPr>
          <w:b w:val="0"/>
        </w:rPr>
      </w:pPr>
      <w:r w:rsidRPr="00743782">
        <w:rPr>
          <w:b w:val="0"/>
        </w:rPr>
        <w:t xml:space="preserve">Par courrier électronique à l’adresse suivante : </w:t>
      </w:r>
    </w:p>
    <w:p w:rsidR="00743782" w:rsidRPr="00743782" w:rsidRDefault="00743782" w:rsidP="000D0EC3">
      <w:pPr>
        <w:pStyle w:val="11"/>
        <w:numPr>
          <w:ilvl w:val="0"/>
          <w:numId w:val="0"/>
        </w:numPr>
        <w:spacing w:before="0" w:after="0"/>
        <w:ind w:left="720"/>
        <w:rPr>
          <w:b w:val="0"/>
        </w:rPr>
      </w:pPr>
    </w:p>
    <w:p w:rsidR="00743782" w:rsidRPr="00743782" w:rsidRDefault="00A655BC" w:rsidP="000D0EC3">
      <w:pPr>
        <w:pStyle w:val="11"/>
        <w:numPr>
          <w:ilvl w:val="0"/>
          <w:numId w:val="0"/>
        </w:numPr>
        <w:spacing w:before="0" w:after="0"/>
        <w:jc w:val="center"/>
        <w:rPr>
          <w:rStyle w:val="Lienhypertexte"/>
          <w:b w:val="0"/>
          <w:color w:val="auto"/>
          <w:u w:val="none"/>
        </w:rPr>
      </w:pPr>
      <w:hyperlink r:id="rId12" w:history="1">
        <w:r w:rsidR="00743782" w:rsidRPr="00743782">
          <w:rPr>
            <w:rStyle w:val="Lienhypertexte"/>
          </w:rPr>
          <w:t>ARS-NORMANDIE-APPELPROJET-MEDSOC@ars.sante.fr</w:t>
        </w:r>
      </w:hyperlink>
    </w:p>
    <w:p w:rsidR="00743782" w:rsidRDefault="00743782" w:rsidP="000D0EC3">
      <w:pPr>
        <w:pStyle w:val="11"/>
        <w:numPr>
          <w:ilvl w:val="0"/>
          <w:numId w:val="0"/>
        </w:numPr>
        <w:spacing w:before="0" w:after="0"/>
        <w:ind w:left="792" w:hanging="432"/>
      </w:pPr>
    </w:p>
    <w:p w:rsidR="00743782" w:rsidRDefault="00743782" w:rsidP="00353232">
      <w:pPr>
        <w:pStyle w:val="11"/>
        <w:numPr>
          <w:ilvl w:val="0"/>
          <w:numId w:val="0"/>
        </w:numPr>
        <w:spacing w:before="0" w:after="0"/>
        <w:ind w:left="792" w:hanging="432"/>
      </w:pPr>
      <w:r w:rsidRPr="00743782">
        <w:t>Et</w:t>
      </w:r>
    </w:p>
    <w:p w:rsidR="00D659C0" w:rsidRPr="00353232" w:rsidRDefault="00D659C0" w:rsidP="00353232">
      <w:pPr>
        <w:pStyle w:val="11"/>
        <w:numPr>
          <w:ilvl w:val="0"/>
          <w:numId w:val="0"/>
        </w:numPr>
        <w:spacing w:before="0" w:after="0"/>
        <w:ind w:left="792" w:hanging="432"/>
      </w:pPr>
    </w:p>
    <w:p w:rsidR="00743782" w:rsidRDefault="00743782" w:rsidP="000D0EC3">
      <w:pPr>
        <w:pStyle w:val="11"/>
        <w:numPr>
          <w:ilvl w:val="0"/>
          <w:numId w:val="18"/>
        </w:numPr>
        <w:spacing w:before="0" w:after="0"/>
        <w:rPr>
          <w:b w:val="0"/>
        </w:rPr>
      </w:pPr>
      <w:r>
        <w:rPr>
          <w:b w:val="0"/>
        </w:rPr>
        <w:t xml:space="preserve">Par courrier recommandé avec accusé réception ou remise en main propre, en </w:t>
      </w:r>
      <w:r w:rsidR="00D659C0">
        <w:rPr>
          <w:b w:val="0"/>
        </w:rPr>
        <w:t xml:space="preserve">deux </w:t>
      </w:r>
      <w:r>
        <w:rPr>
          <w:b w:val="0"/>
        </w:rPr>
        <w:t>exemplaires, à l’adresse suivante :</w:t>
      </w:r>
    </w:p>
    <w:p w:rsidR="00743782" w:rsidRDefault="00743782" w:rsidP="000D0EC3">
      <w:pPr>
        <w:pStyle w:val="11"/>
        <w:numPr>
          <w:ilvl w:val="0"/>
          <w:numId w:val="0"/>
        </w:numPr>
        <w:spacing w:before="0" w:after="0"/>
        <w:ind w:left="720"/>
        <w:rPr>
          <w:b w:val="0"/>
        </w:rPr>
      </w:pPr>
    </w:p>
    <w:p w:rsidR="00743782" w:rsidRDefault="00743782" w:rsidP="000D0EC3">
      <w:pPr>
        <w:tabs>
          <w:tab w:val="left" w:pos="5850"/>
        </w:tabs>
        <w:spacing w:after="0"/>
        <w:jc w:val="center"/>
        <w:rPr>
          <w:rStyle w:val="Lienhypertexte"/>
          <w:rFonts w:ascii="Arial" w:eastAsiaTheme="majorEastAsia" w:hAnsi="Arial" w:cs="Arial"/>
          <w:b/>
          <w:bCs/>
          <w:color w:val="000000" w:themeColor="text1"/>
          <w:u w:val="none"/>
        </w:rPr>
      </w:pPr>
      <w:r w:rsidRPr="00743782">
        <w:rPr>
          <w:rStyle w:val="Lienhypertexte"/>
          <w:rFonts w:ascii="Arial" w:eastAsiaTheme="majorEastAsia" w:hAnsi="Arial" w:cs="Arial"/>
          <w:b/>
          <w:bCs/>
          <w:color w:val="000000" w:themeColor="text1"/>
          <w:u w:val="none"/>
        </w:rPr>
        <w:t>ARS de Normandie</w:t>
      </w:r>
    </w:p>
    <w:p w:rsidR="00D659C0" w:rsidRPr="00743782" w:rsidRDefault="00D659C0" w:rsidP="000D0EC3">
      <w:pPr>
        <w:tabs>
          <w:tab w:val="left" w:pos="5850"/>
        </w:tabs>
        <w:spacing w:after="0"/>
        <w:jc w:val="center"/>
        <w:rPr>
          <w:rStyle w:val="Lienhypertexte"/>
          <w:rFonts w:ascii="Arial" w:eastAsiaTheme="majorEastAsia" w:hAnsi="Arial" w:cs="Arial"/>
          <w:b/>
          <w:bCs/>
          <w:color w:val="000000" w:themeColor="text1"/>
          <w:u w:val="none"/>
        </w:rPr>
      </w:pPr>
      <w:r>
        <w:rPr>
          <w:rStyle w:val="Lienhypertexte"/>
          <w:rFonts w:ascii="Arial" w:eastAsiaTheme="majorEastAsia" w:hAnsi="Arial" w:cs="Arial"/>
          <w:b/>
          <w:bCs/>
          <w:color w:val="000000" w:themeColor="text1"/>
          <w:u w:val="none"/>
        </w:rPr>
        <w:t>Appel à candidatures HT</w:t>
      </w:r>
      <w:r w:rsidR="00F10DA6">
        <w:rPr>
          <w:rStyle w:val="Lienhypertexte"/>
          <w:rFonts w:ascii="Arial" w:eastAsiaTheme="majorEastAsia" w:hAnsi="Arial" w:cs="Arial"/>
          <w:b/>
          <w:bCs/>
          <w:color w:val="000000" w:themeColor="text1"/>
          <w:u w:val="none"/>
        </w:rPr>
        <w:t>S</w:t>
      </w:r>
      <w:r>
        <w:rPr>
          <w:rStyle w:val="Lienhypertexte"/>
          <w:rFonts w:ascii="Arial" w:eastAsiaTheme="majorEastAsia" w:hAnsi="Arial" w:cs="Arial"/>
          <w:b/>
          <w:bCs/>
          <w:color w:val="000000" w:themeColor="text1"/>
          <w:u w:val="none"/>
        </w:rPr>
        <w:t>H</w:t>
      </w:r>
    </w:p>
    <w:p w:rsidR="00743782" w:rsidRPr="00743782" w:rsidRDefault="00743782" w:rsidP="000D0EC3">
      <w:pPr>
        <w:tabs>
          <w:tab w:val="left" w:pos="5850"/>
        </w:tabs>
        <w:spacing w:after="0"/>
        <w:jc w:val="center"/>
        <w:rPr>
          <w:rStyle w:val="Lienhypertexte"/>
          <w:rFonts w:ascii="Arial" w:eastAsiaTheme="majorEastAsia" w:hAnsi="Arial" w:cs="Arial"/>
          <w:b/>
          <w:bCs/>
          <w:color w:val="000000" w:themeColor="text1"/>
          <w:u w:val="none"/>
        </w:rPr>
      </w:pPr>
      <w:r w:rsidRPr="00743782">
        <w:rPr>
          <w:rStyle w:val="Lienhypertexte"/>
          <w:rFonts w:ascii="Arial" w:eastAsiaTheme="majorEastAsia" w:hAnsi="Arial" w:cs="Arial"/>
          <w:b/>
          <w:bCs/>
          <w:color w:val="000000" w:themeColor="text1"/>
          <w:u w:val="none"/>
        </w:rPr>
        <w:t>2, Place Jean Nouzille</w:t>
      </w:r>
    </w:p>
    <w:p w:rsidR="00743782" w:rsidRPr="00743782" w:rsidRDefault="00743782" w:rsidP="000D0EC3">
      <w:pPr>
        <w:tabs>
          <w:tab w:val="left" w:pos="5850"/>
        </w:tabs>
        <w:spacing w:after="0"/>
        <w:jc w:val="center"/>
        <w:rPr>
          <w:rStyle w:val="Lienhypertexte"/>
          <w:rFonts w:ascii="Arial" w:eastAsiaTheme="majorEastAsia" w:hAnsi="Arial" w:cs="Arial"/>
          <w:b/>
          <w:bCs/>
          <w:color w:val="000000" w:themeColor="text1"/>
          <w:u w:val="none"/>
        </w:rPr>
      </w:pPr>
      <w:r w:rsidRPr="00743782">
        <w:rPr>
          <w:rStyle w:val="Lienhypertexte"/>
          <w:rFonts w:ascii="Arial" w:eastAsiaTheme="majorEastAsia" w:hAnsi="Arial" w:cs="Arial"/>
          <w:b/>
          <w:bCs/>
          <w:color w:val="000000" w:themeColor="text1"/>
          <w:u w:val="none"/>
        </w:rPr>
        <w:t>Espace Claude MONET</w:t>
      </w:r>
    </w:p>
    <w:p w:rsidR="00743782" w:rsidRPr="00743782" w:rsidRDefault="00743782" w:rsidP="000D0EC3">
      <w:pPr>
        <w:spacing w:after="0"/>
        <w:jc w:val="center"/>
        <w:rPr>
          <w:rStyle w:val="Lienhypertexte"/>
          <w:rFonts w:ascii="Arial" w:eastAsiaTheme="majorEastAsia" w:hAnsi="Arial" w:cs="Arial"/>
          <w:b/>
          <w:bCs/>
          <w:color w:val="000000" w:themeColor="text1"/>
          <w:u w:val="none"/>
        </w:rPr>
      </w:pPr>
      <w:r w:rsidRPr="00743782">
        <w:rPr>
          <w:rStyle w:val="Lienhypertexte"/>
          <w:rFonts w:ascii="Arial" w:eastAsiaTheme="majorEastAsia" w:hAnsi="Arial" w:cs="Arial"/>
          <w:b/>
          <w:bCs/>
          <w:color w:val="000000" w:themeColor="text1"/>
          <w:u w:val="none"/>
        </w:rPr>
        <w:t>CS 55035</w:t>
      </w:r>
    </w:p>
    <w:p w:rsidR="00353232" w:rsidRDefault="00743782" w:rsidP="00353232">
      <w:pPr>
        <w:spacing w:after="0"/>
        <w:jc w:val="center"/>
        <w:rPr>
          <w:rStyle w:val="Lienhypertexte"/>
          <w:rFonts w:ascii="Arial" w:eastAsiaTheme="majorEastAsia" w:hAnsi="Arial" w:cs="Arial"/>
          <w:b/>
          <w:bCs/>
          <w:color w:val="000000" w:themeColor="text1"/>
          <w:u w:val="none"/>
        </w:rPr>
      </w:pPr>
      <w:r w:rsidRPr="00743782">
        <w:rPr>
          <w:rStyle w:val="Lienhypertexte"/>
          <w:rFonts w:ascii="Arial" w:eastAsiaTheme="majorEastAsia" w:hAnsi="Arial" w:cs="Arial"/>
          <w:b/>
          <w:bCs/>
          <w:color w:val="000000" w:themeColor="text1"/>
          <w:u w:val="none"/>
        </w:rPr>
        <w:t>14050 CAEN CEDEX 4</w:t>
      </w:r>
    </w:p>
    <w:p w:rsidR="00353232" w:rsidRPr="00353232" w:rsidRDefault="00353232" w:rsidP="00353232">
      <w:pPr>
        <w:spacing w:after="0"/>
        <w:jc w:val="center"/>
        <w:rPr>
          <w:rFonts w:ascii="Arial" w:eastAsiaTheme="majorEastAsia" w:hAnsi="Arial" w:cs="Arial"/>
          <w:b/>
          <w:bCs/>
          <w:color w:val="000000" w:themeColor="text1"/>
        </w:rPr>
      </w:pPr>
    </w:p>
    <w:p w:rsidR="00743782" w:rsidRDefault="00743782" w:rsidP="000D0EC3">
      <w:pPr>
        <w:pStyle w:val="11"/>
        <w:numPr>
          <w:ilvl w:val="0"/>
          <w:numId w:val="0"/>
        </w:numPr>
        <w:spacing w:before="0" w:after="0"/>
      </w:pPr>
      <w:r w:rsidRPr="00743782">
        <w:t>Les dossiers parvenus ou déposés après la date limite de clôture ne seront pas recevables.</w:t>
      </w:r>
    </w:p>
    <w:p w:rsidR="00743782" w:rsidRDefault="00743782" w:rsidP="000D0EC3">
      <w:pPr>
        <w:pStyle w:val="11"/>
        <w:numPr>
          <w:ilvl w:val="0"/>
          <w:numId w:val="0"/>
        </w:numPr>
        <w:spacing w:before="0" w:after="0"/>
      </w:pPr>
    </w:p>
    <w:p w:rsidR="00743782" w:rsidRDefault="00743782" w:rsidP="000D0EC3">
      <w:pPr>
        <w:pStyle w:val="11"/>
        <w:numPr>
          <w:ilvl w:val="0"/>
          <w:numId w:val="0"/>
        </w:numPr>
        <w:spacing w:before="0" w:after="0"/>
        <w:rPr>
          <w:b w:val="0"/>
        </w:rPr>
      </w:pPr>
      <w:r>
        <w:rPr>
          <w:b w:val="0"/>
        </w:rPr>
        <w:t>Les candidats seront informés des résultats du processus de sélection et de l’aide accordée dès que la phase de sélection sera terminée.</w:t>
      </w:r>
    </w:p>
    <w:p w:rsidR="00743782" w:rsidRDefault="00743782" w:rsidP="000D0EC3">
      <w:pPr>
        <w:pStyle w:val="11"/>
        <w:numPr>
          <w:ilvl w:val="0"/>
          <w:numId w:val="0"/>
        </w:numPr>
        <w:spacing w:before="0" w:after="0"/>
        <w:ind w:left="792" w:hanging="432"/>
        <w:rPr>
          <w:b w:val="0"/>
        </w:rPr>
      </w:pPr>
    </w:p>
    <w:p w:rsidR="00743782" w:rsidRDefault="00743782" w:rsidP="000D0EC3">
      <w:pPr>
        <w:pStyle w:val="11"/>
        <w:numPr>
          <w:ilvl w:val="0"/>
          <w:numId w:val="0"/>
        </w:numPr>
        <w:spacing w:before="0" w:after="0"/>
        <w:ind w:left="792" w:hanging="432"/>
        <w:rPr>
          <w:b w:val="0"/>
        </w:rPr>
      </w:pPr>
    </w:p>
    <w:p w:rsidR="00743782" w:rsidRPr="00743782" w:rsidRDefault="00743782" w:rsidP="000D0EC3">
      <w:pPr>
        <w:pStyle w:val="11"/>
        <w:numPr>
          <w:ilvl w:val="0"/>
          <w:numId w:val="0"/>
        </w:numPr>
        <w:spacing w:before="0" w:after="0"/>
        <w:rPr>
          <w:b w:val="0"/>
        </w:rPr>
      </w:pPr>
    </w:p>
    <w:sectPr w:rsidR="00743782" w:rsidRPr="00743782" w:rsidSect="00C22FC5">
      <w:headerReference w:type="default" r:id="rId13"/>
      <w:footerReference w:type="default" r:id="rId14"/>
      <w:pgSz w:w="11906" w:h="16838"/>
      <w:pgMar w:top="426" w:right="1417" w:bottom="1417" w:left="1417" w:header="284"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EA8" w:rsidRDefault="00C13EA8" w:rsidP="005806D7">
      <w:pPr>
        <w:spacing w:after="0" w:line="240" w:lineRule="auto"/>
      </w:pPr>
      <w:r>
        <w:separator/>
      </w:r>
    </w:p>
  </w:endnote>
  <w:endnote w:type="continuationSeparator" w:id="0">
    <w:p w:rsidR="00C13EA8" w:rsidRDefault="00C13EA8" w:rsidP="0058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769580"/>
      <w:docPartObj>
        <w:docPartGallery w:val="Page Numbers (Bottom of Page)"/>
        <w:docPartUnique/>
      </w:docPartObj>
    </w:sdtPr>
    <w:sdtEndPr/>
    <w:sdtContent>
      <w:p w:rsidR="00184FE7" w:rsidRDefault="00184FE7">
        <w:pPr>
          <w:pStyle w:val="Pieddepage"/>
        </w:pPr>
        <w:r>
          <w:t xml:space="preserve">Page </w:t>
        </w:r>
        <w:r>
          <w:rPr>
            <w:b/>
          </w:rPr>
          <w:fldChar w:fldCharType="begin"/>
        </w:r>
        <w:r>
          <w:rPr>
            <w:b/>
          </w:rPr>
          <w:instrText>PAGE  \* Arabic  \* MERGEFORMAT</w:instrText>
        </w:r>
        <w:r>
          <w:rPr>
            <w:b/>
          </w:rPr>
          <w:fldChar w:fldCharType="separate"/>
        </w:r>
        <w:r w:rsidR="00A655BC">
          <w:rPr>
            <w:b/>
            <w:noProof/>
          </w:rPr>
          <w:t>2</w:t>
        </w:r>
        <w:r>
          <w:rPr>
            <w:b/>
          </w:rPr>
          <w:fldChar w:fldCharType="end"/>
        </w:r>
        <w:r>
          <w:t xml:space="preserve"> sur </w:t>
        </w:r>
        <w:r>
          <w:rPr>
            <w:b/>
          </w:rPr>
          <w:fldChar w:fldCharType="begin"/>
        </w:r>
        <w:r>
          <w:rPr>
            <w:b/>
          </w:rPr>
          <w:instrText>NUMPAGES  \* Arabic  \* MERGEFORMAT</w:instrText>
        </w:r>
        <w:r>
          <w:rPr>
            <w:b/>
          </w:rPr>
          <w:fldChar w:fldCharType="separate"/>
        </w:r>
        <w:r w:rsidR="00A655BC">
          <w:rPr>
            <w:b/>
            <w:noProof/>
          </w:rPr>
          <w:t>6</w:t>
        </w:r>
        <w:r>
          <w:rPr>
            <w:b/>
          </w:rPr>
          <w:fldChar w:fldCharType="end"/>
        </w:r>
        <w:r>
          <w:rPr>
            <w:noProof/>
            <w:lang w:eastAsia="fr-FR"/>
          </w:rPr>
          <mc:AlternateContent>
            <mc:Choice Requires="wps">
              <w:drawing>
                <wp:anchor distT="0" distB="0" distL="114300" distR="114300" simplePos="0" relativeHeight="251659264" behindDoc="0" locked="0" layoutInCell="1" allowOverlap="1" wp14:anchorId="0F82A927" wp14:editId="229FFFEE">
                  <wp:simplePos x="0" y="0"/>
                  <wp:positionH relativeFrom="column">
                    <wp:posOffset>-1097016</wp:posOffset>
                  </wp:positionH>
                  <wp:positionV relativeFrom="paragraph">
                    <wp:posOffset>333490</wp:posOffset>
                  </wp:positionV>
                  <wp:extent cx="0" cy="280035"/>
                  <wp:effectExtent l="0" t="0" r="19050" b="24765"/>
                  <wp:wrapNone/>
                  <wp:docPr id="62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00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77" o:spid="_x0000_s1026" type="#_x0000_t32" style="position:absolute;margin-left:-86.4pt;margin-top:26.25pt;width:0;height:22.0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" strokecolor="#7f7f7f"/>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EA8" w:rsidRDefault="00C13EA8" w:rsidP="005806D7">
      <w:pPr>
        <w:spacing w:after="0" w:line="240" w:lineRule="auto"/>
      </w:pPr>
      <w:r>
        <w:separator/>
      </w:r>
    </w:p>
  </w:footnote>
  <w:footnote w:type="continuationSeparator" w:id="0">
    <w:p w:rsidR="00C13EA8" w:rsidRDefault="00C13EA8" w:rsidP="00580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BB0" w:rsidRDefault="00A86BB0">
    <w:pPr>
      <w:pStyle w:val="En-tte"/>
    </w:pPr>
  </w:p>
  <w:p w:rsidR="00184FE7" w:rsidRDefault="00184FE7" w:rsidP="00184FE7">
    <w:pPr>
      <w:tabs>
        <w:tab w:val="left" w:pos="51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1F3"/>
    <w:multiLevelType w:val="hybridMultilevel"/>
    <w:tmpl w:val="761800B4"/>
    <w:lvl w:ilvl="0" w:tplc="9516EE66">
      <w:start w:val="1"/>
      <w:numFmt w:val="bullet"/>
      <w:lvlText w:val="-"/>
      <w:lvlJc w:val="left"/>
      <w:pPr>
        <w:tabs>
          <w:tab w:val="num" w:pos="1440"/>
        </w:tabs>
        <w:ind w:left="1440" w:hanging="360"/>
      </w:pPr>
      <w:rPr>
        <w:rFonts w:ascii="Arial" w:eastAsia="Times New Roman" w:hAnsi="Arial" w:cs="Aria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
    <w:nsid w:val="032C7035"/>
    <w:multiLevelType w:val="hybridMultilevel"/>
    <w:tmpl w:val="95FEDD52"/>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04F56C52"/>
    <w:multiLevelType w:val="hybridMultilevel"/>
    <w:tmpl w:val="109A346E"/>
    <w:lvl w:ilvl="0" w:tplc="040C000F">
      <w:start w:val="1"/>
      <w:numFmt w:val="decimal"/>
      <w:lvlText w:val="%1."/>
      <w:lvlJc w:val="left"/>
      <w:pPr>
        <w:tabs>
          <w:tab w:val="num" w:pos="720"/>
        </w:tabs>
        <w:ind w:left="720" w:hanging="360"/>
      </w:pPr>
      <w:rPr>
        <w:rFonts w:hint="default"/>
      </w:rPr>
    </w:lvl>
    <w:lvl w:ilvl="1" w:tplc="040C000B">
      <w:start w:val="1"/>
      <w:numFmt w:val="bullet"/>
      <w:lvlText w:val=""/>
      <w:lvlJc w:val="left"/>
      <w:pPr>
        <w:tabs>
          <w:tab w:val="num" w:pos="1440"/>
        </w:tabs>
        <w:ind w:left="1440" w:hanging="360"/>
      </w:pPr>
      <w:rPr>
        <w:rFonts w:ascii="Wingdings" w:hAnsi="Wingdings" w:hint="default"/>
        <w:sz w:val="20"/>
      </w:rPr>
    </w:lvl>
    <w:lvl w:ilvl="2" w:tplc="040C0001">
      <w:start w:val="1"/>
      <w:numFmt w:val="bullet"/>
      <w:lvlText w:val=""/>
      <w:lvlJc w:val="left"/>
      <w:pPr>
        <w:tabs>
          <w:tab w:val="num" w:pos="2340"/>
        </w:tabs>
        <w:ind w:left="2340" w:hanging="360"/>
      </w:pPr>
      <w:rPr>
        <w:rFonts w:ascii="Symbol" w:hAnsi="Symbol" w:hint="default"/>
      </w:rPr>
    </w:lvl>
    <w:lvl w:ilvl="3" w:tplc="9B082BD6">
      <w:numFmt w:val="bullet"/>
      <w:lvlText w:val="-"/>
      <w:lvlJc w:val="left"/>
      <w:pPr>
        <w:tabs>
          <w:tab w:val="num" w:pos="1440"/>
        </w:tabs>
        <w:ind w:left="1440" w:hanging="360"/>
      </w:pPr>
      <w:rPr>
        <w:rFonts w:ascii="Arial" w:eastAsia="Marlett" w:hAnsi="Arial" w:cs="Arial" w:hint="default"/>
        <w:sz w:val="20"/>
      </w:rPr>
    </w:lvl>
    <w:lvl w:ilvl="4" w:tplc="4B58C6E6">
      <w:start w:val="1"/>
      <w:numFmt w:val="bullet"/>
      <w:lvlText w:val="-"/>
      <w:lvlJc w:val="left"/>
      <w:pPr>
        <w:tabs>
          <w:tab w:val="num" w:pos="3600"/>
        </w:tabs>
        <w:ind w:left="3600" w:hanging="360"/>
      </w:pPr>
      <w:rPr>
        <w:rFonts w:ascii="Arial" w:hAnsi="Arial" w:hint="default"/>
      </w:r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2086252"/>
    <w:multiLevelType w:val="hybridMultilevel"/>
    <w:tmpl w:val="52D40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0732DF"/>
    <w:multiLevelType w:val="hybridMultilevel"/>
    <w:tmpl w:val="B38CA4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432AA7"/>
    <w:multiLevelType w:val="hybridMultilevel"/>
    <w:tmpl w:val="F760DE9C"/>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1730389B"/>
    <w:multiLevelType w:val="hybridMultilevel"/>
    <w:tmpl w:val="BDBEBD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D91B4F"/>
    <w:multiLevelType w:val="hybridMultilevel"/>
    <w:tmpl w:val="7676FB0C"/>
    <w:lvl w:ilvl="0" w:tplc="95229C3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D2109B"/>
    <w:multiLevelType w:val="multilevel"/>
    <w:tmpl w:val="9E4428AE"/>
    <w:lvl w:ilvl="0">
      <w:start w:val="1"/>
      <w:numFmt w:val="bullet"/>
      <w:lvlText w:val="-"/>
      <w:lvlJc w:val="left"/>
      <w:pPr>
        <w:ind w:left="792" w:hanging="360"/>
      </w:pPr>
      <w:rPr>
        <w:rFonts w:ascii="Symbol" w:hAnsi="Symbol" w:cs="Symbol" w:hint="default"/>
        <w:color w:val="0E1A8F"/>
        <w:sz w:val="20"/>
        <w:szCs w:val="20"/>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cs="Wingdings" w:hint="default"/>
      </w:rPr>
    </w:lvl>
    <w:lvl w:ilvl="3">
      <w:start w:val="1"/>
      <w:numFmt w:val="bullet"/>
      <w:lvlText w:val=""/>
      <w:lvlJc w:val="left"/>
      <w:pPr>
        <w:ind w:left="2952" w:hanging="360"/>
      </w:pPr>
      <w:rPr>
        <w:rFonts w:ascii="Symbol" w:hAnsi="Symbol" w:cs="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cs="Wingdings" w:hint="default"/>
      </w:rPr>
    </w:lvl>
    <w:lvl w:ilvl="6">
      <w:start w:val="1"/>
      <w:numFmt w:val="bullet"/>
      <w:lvlText w:val=""/>
      <w:lvlJc w:val="left"/>
      <w:pPr>
        <w:ind w:left="5112" w:hanging="360"/>
      </w:pPr>
      <w:rPr>
        <w:rFonts w:ascii="Symbol" w:hAnsi="Symbol" w:cs="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cs="Wingdings" w:hint="default"/>
      </w:rPr>
    </w:lvl>
  </w:abstractNum>
  <w:abstractNum w:abstractNumId="9">
    <w:nsid w:val="250C0270"/>
    <w:multiLevelType w:val="multilevel"/>
    <w:tmpl w:val="EB9C3D54"/>
    <w:lvl w:ilvl="0">
      <w:start w:val="1"/>
      <w:numFmt w:val="decimal"/>
      <w:pStyle w:val="1"/>
      <w:lvlText w:val="%1."/>
      <w:lvlJc w:val="left"/>
      <w:pPr>
        <w:ind w:left="360" w:hanging="360"/>
      </w:pPr>
    </w:lvl>
    <w:lvl w:ilvl="1">
      <w:start w:val="1"/>
      <w:numFmt w:val="decimal"/>
      <w:pStyle w:val="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8A5D9F"/>
    <w:multiLevelType w:val="hybridMultilevel"/>
    <w:tmpl w:val="DD14D834"/>
    <w:lvl w:ilvl="0" w:tplc="95229C36">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339D4525"/>
    <w:multiLevelType w:val="hybridMultilevel"/>
    <w:tmpl w:val="E48676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71E2FE9"/>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C4327A0"/>
    <w:multiLevelType w:val="hybridMultilevel"/>
    <w:tmpl w:val="C2A8268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42BE40FD"/>
    <w:multiLevelType w:val="hybridMultilevel"/>
    <w:tmpl w:val="06C06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90D3E1E"/>
    <w:multiLevelType w:val="hybridMultilevel"/>
    <w:tmpl w:val="6916C7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FAA6BF8"/>
    <w:multiLevelType w:val="hybridMultilevel"/>
    <w:tmpl w:val="BA863D04"/>
    <w:lvl w:ilvl="0" w:tplc="95229C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3A400C5"/>
    <w:multiLevelType w:val="hybridMultilevel"/>
    <w:tmpl w:val="F7C4B34C"/>
    <w:lvl w:ilvl="0" w:tplc="0E18EF24">
      <w:start w:val="1"/>
      <w:numFmt w:val="bullet"/>
      <w:lvlText w:val="-"/>
      <w:lvlJc w:val="left"/>
      <w:pPr>
        <w:ind w:left="720" w:hanging="360"/>
      </w:pPr>
      <w:rPr>
        <w:rFonts w:ascii="Arial" w:eastAsiaTheme="maj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22218C"/>
    <w:multiLevelType w:val="hybridMultilevel"/>
    <w:tmpl w:val="6C9403EA"/>
    <w:lvl w:ilvl="0" w:tplc="60F40DE0">
      <w:start w:val="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C600BCF"/>
    <w:multiLevelType w:val="hybridMultilevel"/>
    <w:tmpl w:val="FC340E6E"/>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5D054C63"/>
    <w:multiLevelType w:val="hybridMultilevel"/>
    <w:tmpl w:val="4C1C4664"/>
    <w:lvl w:ilvl="0" w:tplc="040C000B">
      <w:start w:val="1"/>
      <w:numFmt w:val="bullet"/>
      <w:lvlText w:val=""/>
      <w:lvlJc w:val="left"/>
      <w:pPr>
        <w:ind w:left="720" w:hanging="360"/>
      </w:pPr>
      <w:rPr>
        <w:rFonts w:ascii="Wingdings" w:hAnsi="Wingdings" w:hint="default"/>
      </w:rPr>
    </w:lvl>
    <w:lvl w:ilvl="1" w:tplc="D54094F2">
      <w:start w:val="1"/>
      <w:numFmt w:val="bullet"/>
      <w:lvlText w:val="-"/>
      <w:lvlJc w:val="left"/>
      <w:pPr>
        <w:ind w:left="1440" w:hanging="360"/>
      </w:pPr>
      <w:rPr>
        <w:rFonts w:ascii="Arial" w:eastAsia="Times New Roman" w:hAnsi="Arial"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0A30762"/>
    <w:multiLevelType w:val="hybridMultilevel"/>
    <w:tmpl w:val="70F61C3C"/>
    <w:lvl w:ilvl="0" w:tplc="09DA38C0">
      <w:start w:val="13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37C578C"/>
    <w:multiLevelType w:val="hybridMultilevel"/>
    <w:tmpl w:val="03DEC2D6"/>
    <w:lvl w:ilvl="0" w:tplc="9FAC1E54">
      <w:numFmt w:val="bullet"/>
      <w:lvlText w:val="-"/>
      <w:lvlJc w:val="left"/>
      <w:pPr>
        <w:ind w:left="720" w:hanging="360"/>
      </w:pPr>
      <w:rPr>
        <w:rFonts w:ascii="Arial" w:eastAsiaTheme="minorHAnsi"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2B972FA"/>
    <w:multiLevelType w:val="hybridMultilevel"/>
    <w:tmpl w:val="4BAC5BE0"/>
    <w:lvl w:ilvl="0" w:tplc="04709884">
      <w:start w:val="1"/>
      <w:numFmt w:val="decimal"/>
      <w:lvlText w:val="%1."/>
      <w:lvlJc w:val="left"/>
      <w:pPr>
        <w:ind w:left="1296"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4">
    <w:nsid w:val="7A6F3AB3"/>
    <w:multiLevelType w:val="hybridMultilevel"/>
    <w:tmpl w:val="444459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DC53548"/>
    <w:multiLevelType w:val="hybridMultilevel"/>
    <w:tmpl w:val="9F2C05E8"/>
    <w:lvl w:ilvl="0" w:tplc="A2BECF98">
      <w:start w:val="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F176384"/>
    <w:multiLevelType w:val="hybridMultilevel"/>
    <w:tmpl w:val="FB0C8542"/>
    <w:lvl w:ilvl="0" w:tplc="5FAE1E94">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2"/>
  </w:num>
  <w:num w:numId="5">
    <w:abstractNumId w:val="10"/>
  </w:num>
  <w:num w:numId="6">
    <w:abstractNumId w:val="26"/>
  </w:num>
  <w:num w:numId="7">
    <w:abstractNumId w:val="19"/>
  </w:num>
  <w:num w:numId="8">
    <w:abstractNumId w:val="21"/>
  </w:num>
  <w:num w:numId="9">
    <w:abstractNumId w:val="20"/>
  </w:num>
  <w:num w:numId="10">
    <w:abstractNumId w:val="16"/>
  </w:num>
  <w:num w:numId="11">
    <w:abstractNumId w:val="18"/>
  </w:num>
  <w:num w:numId="12">
    <w:abstractNumId w:val="22"/>
  </w:num>
  <w:num w:numId="13">
    <w:abstractNumId w:val="12"/>
  </w:num>
  <w:num w:numId="14">
    <w:abstractNumId w:val="0"/>
  </w:num>
  <w:num w:numId="15">
    <w:abstractNumId w:val="5"/>
  </w:num>
  <w:num w:numId="16">
    <w:abstractNumId w:val="23"/>
  </w:num>
  <w:num w:numId="17">
    <w:abstractNumId w:val="4"/>
  </w:num>
  <w:num w:numId="18">
    <w:abstractNumId w:val="24"/>
  </w:num>
  <w:num w:numId="19">
    <w:abstractNumId w:val="9"/>
  </w:num>
  <w:num w:numId="20">
    <w:abstractNumId w:val="15"/>
  </w:num>
  <w:num w:numId="21">
    <w:abstractNumId w:val="3"/>
  </w:num>
  <w:num w:numId="22">
    <w:abstractNumId w:val="13"/>
  </w:num>
  <w:num w:numId="23">
    <w:abstractNumId w:val="6"/>
  </w:num>
  <w:num w:numId="24">
    <w:abstractNumId w:val="17"/>
  </w:num>
  <w:num w:numId="25">
    <w:abstractNumId w:val="1"/>
  </w:num>
  <w:num w:numId="26">
    <w:abstractNumId w:val="25"/>
  </w:num>
  <w:num w:numId="27">
    <w:abstractNumId w:val="11"/>
  </w:num>
  <w:num w:numId="28">
    <w:abstractNumId w:val="9"/>
  </w:num>
  <w:num w:numId="29">
    <w:abstractNumId w:val="1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0A"/>
    <w:rsid w:val="00007A03"/>
    <w:rsid w:val="00015977"/>
    <w:rsid w:val="00015E3D"/>
    <w:rsid w:val="000234D7"/>
    <w:rsid w:val="00024C56"/>
    <w:rsid w:val="0003096C"/>
    <w:rsid w:val="00035793"/>
    <w:rsid w:val="00063E8C"/>
    <w:rsid w:val="00077D0D"/>
    <w:rsid w:val="0008182F"/>
    <w:rsid w:val="00083711"/>
    <w:rsid w:val="000A4677"/>
    <w:rsid w:val="000C6BDA"/>
    <w:rsid w:val="000D0EC3"/>
    <w:rsid w:val="000D0F45"/>
    <w:rsid w:val="000D2734"/>
    <w:rsid w:val="000F3CCD"/>
    <w:rsid w:val="000F451A"/>
    <w:rsid w:val="00106E5D"/>
    <w:rsid w:val="00122DE4"/>
    <w:rsid w:val="00146EB1"/>
    <w:rsid w:val="0015294D"/>
    <w:rsid w:val="00184FE7"/>
    <w:rsid w:val="001908CB"/>
    <w:rsid w:val="001A4C38"/>
    <w:rsid w:val="001B3AA3"/>
    <w:rsid w:val="001C188D"/>
    <w:rsid w:val="001D2594"/>
    <w:rsid w:val="001D79BA"/>
    <w:rsid w:val="001E298B"/>
    <w:rsid w:val="001E61D0"/>
    <w:rsid w:val="00202414"/>
    <w:rsid w:val="00204C24"/>
    <w:rsid w:val="00205854"/>
    <w:rsid w:val="002110D9"/>
    <w:rsid w:val="0021336B"/>
    <w:rsid w:val="0021683F"/>
    <w:rsid w:val="00232B6D"/>
    <w:rsid w:val="00235951"/>
    <w:rsid w:val="002360A9"/>
    <w:rsid w:val="002433B5"/>
    <w:rsid w:val="00244A24"/>
    <w:rsid w:val="0025307A"/>
    <w:rsid w:val="00260754"/>
    <w:rsid w:val="00263AE7"/>
    <w:rsid w:val="00264059"/>
    <w:rsid w:val="002750F0"/>
    <w:rsid w:val="0027599D"/>
    <w:rsid w:val="00297662"/>
    <w:rsid w:val="002A2D6E"/>
    <w:rsid w:val="002D0265"/>
    <w:rsid w:val="002E6A31"/>
    <w:rsid w:val="00301493"/>
    <w:rsid w:val="00302B1E"/>
    <w:rsid w:val="003040D7"/>
    <w:rsid w:val="00306F86"/>
    <w:rsid w:val="0033140C"/>
    <w:rsid w:val="00337810"/>
    <w:rsid w:val="00341816"/>
    <w:rsid w:val="00347E71"/>
    <w:rsid w:val="00347EA4"/>
    <w:rsid w:val="00353232"/>
    <w:rsid w:val="003612AF"/>
    <w:rsid w:val="0037791B"/>
    <w:rsid w:val="003860D0"/>
    <w:rsid w:val="00386E8D"/>
    <w:rsid w:val="00390FA1"/>
    <w:rsid w:val="003977B3"/>
    <w:rsid w:val="003B6F03"/>
    <w:rsid w:val="003D237D"/>
    <w:rsid w:val="003D7045"/>
    <w:rsid w:val="003E1AE4"/>
    <w:rsid w:val="003E259F"/>
    <w:rsid w:val="003E6015"/>
    <w:rsid w:val="003F40DD"/>
    <w:rsid w:val="003F69D7"/>
    <w:rsid w:val="00412A94"/>
    <w:rsid w:val="00415449"/>
    <w:rsid w:val="00415C9C"/>
    <w:rsid w:val="00424136"/>
    <w:rsid w:val="00427126"/>
    <w:rsid w:val="00427DD6"/>
    <w:rsid w:val="00435437"/>
    <w:rsid w:val="0043699D"/>
    <w:rsid w:val="00437F23"/>
    <w:rsid w:val="0044004B"/>
    <w:rsid w:val="004471E6"/>
    <w:rsid w:val="0046623D"/>
    <w:rsid w:val="00471D83"/>
    <w:rsid w:val="00484C6E"/>
    <w:rsid w:val="004851BE"/>
    <w:rsid w:val="004A1A8B"/>
    <w:rsid w:val="004A314B"/>
    <w:rsid w:val="004A50FE"/>
    <w:rsid w:val="004A55B0"/>
    <w:rsid w:val="004C3C88"/>
    <w:rsid w:val="004D765F"/>
    <w:rsid w:val="004D7FB9"/>
    <w:rsid w:val="00506358"/>
    <w:rsid w:val="005203BF"/>
    <w:rsid w:val="00535337"/>
    <w:rsid w:val="0054112A"/>
    <w:rsid w:val="00543B06"/>
    <w:rsid w:val="005502A6"/>
    <w:rsid w:val="00556673"/>
    <w:rsid w:val="00577921"/>
    <w:rsid w:val="005806D7"/>
    <w:rsid w:val="00581084"/>
    <w:rsid w:val="00582611"/>
    <w:rsid w:val="0058637E"/>
    <w:rsid w:val="0059226C"/>
    <w:rsid w:val="005A2791"/>
    <w:rsid w:val="005A4437"/>
    <w:rsid w:val="005C4CC2"/>
    <w:rsid w:val="005D39F9"/>
    <w:rsid w:val="005D7B19"/>
    <w:rsid w:val="005D7FBC"/>
    <w:rsid w:val="005E0158"/>
    <w:rsid w:val="005E3623"/>
    <w:rsid w:val="005F6A50"/>
    <w:rsid w:val="005F7A91"/>
    <w:rsid w:val="00600D93"/>
    <w:rsid w:val="0061407E"/>
    <w:rsid w:val="006333DF"/>
    <w:rsid w:val="00644A38"/>
    <w:rsid w:val="00644B14"/>
    <w:rsid w:val="006617AD"/>
    <w:rsid w:val="00665E51"/>
    <w:rsid w:val="00667D60"/>
    <w:rsid w:val="00681232"/>
    <w:rsid w:val="0069488E"/>
    <w:rsid w:val="00694D3D"/>
    <w:rsid w:val="00697C36"/>
    <w:rsid w:val="006A7817"/>
    <w:rsid w:val="006B102B"/>
    <w:rsid w:val="006C27EE"/>
    <w:rsid w:val="006C3239"/>
    <w:rsid w:val="006D69E5"/>
    <w:rsid w:val="006E11A5"/>
    <w:rsid w:val="006F0D54"/>
    <w:rsid w:val="006F11E9"/>
    <w:rsid w:val="006F3E1C"/>
    <w:rsid w:val="00700AB9"/>
    <w:rsid w:val="00703696"/>
    <w:rsid w:val="00712888"/>
    <w:rsid w:val="00714989"/>
    <w:rsid w:val="0071650A"/>
    <w:rsid w:val="007338BF"/>
    <w:rsid w:val="00740AA5"/>
    <w:rsid w:val="00743782"/>
    <w:rsid w:val="00743CEA"/>
    <w:rsid w:val="0074636F"/>
    <w:rsid w:val="00755ADD"/>
    <w:rsid w:val="007622C7"/>
    <w:rsid w:val="00766F06"/>
    <w:rsid w:val="007723EA"/>
    <w:rsid w:val="007744AD"/>
    <w:rsid w:val="007805AE"/>
    <w:rsid w:val="00780CD7"/>
    <w:rsid w:val="007845F7"/>
    <w:rsid w:val="007858A1"/>
    <w:rsid w:val="007936A4"/>
    <w:rsid w:val="00796626"/>
    <w:rsid w:val="007A0950"/>
    <w:rsid w:val="007B7E9F"/>
    <w:rsid w:val="007C01ED"/>
    <w:rsid w:val="007C30AA"/>
    <w:rsid w:val="007C51E1"/>
    <w:rsid w:val="007C6661"/>
    <w:rsid w:val="007D455B"/>
    <w:rsid w:val="007D611B"/>
    <w:rsid w:val="007D7007"/>
    <w:rsid w:val="007E0885"/>
    <w:rsid w:val="007E1BA3"/>
    <w:rsid w:val="007F2B4C"/>
    <w:rsid w:val="00812A48"/>
    <w:rsid w:val="00814C23"/>
    <w:rsid w:val="00816353"/>
    <w:rsid w:val="0082083C"/>
    <w:rsid w:val="00822873"/>
    <w:rsid w:val="008272B2"/>
    <w:rsid w:val="0083046D"/>
    <w:rsid w:val="00835AC9"/>
    <w:rsid w:val="0084254B"/>
    <w:rsid w:val="008552C8"/>
    <w:rsid w:val="00870590"/>
    <w:rsid w:val="0088035F"/>
    <w:rsid w:val="00883239"/>
    <w:rsid w:val="00887750"/>
    <w:rsid w:val="00891DFC"/>
    <w:rsid w:val="0089274A"/>
    <w:rsid w:val="008A03A7"/>
    <w:rsid w:val="008A2B53"/>
    <w:rsid w:val="008A3EA8"/>
    <w:rsid w:val="008D0660"/>
    <w:rsid w:val="008E0303"/>
    <w:rsid w:val="008E3CC3"/>
    <w:rsid w:val="008E649B"/>
    <w:rsid w:val="008E74D2"/>
    <w:rsid w:val="008F0C81"/>
    <w:rsid w:val="008F78D3"/>
    <w:rsid w:val="00906F27"/>
    <w:rsid w:val="00922142"/>
    <w:rsid w:val="00922C1B"/>
    <w:rsid w:val="00935FF5"/>
    <w:rsid w:val="009360E5"/>
    <w:rsid w:val="009427FC"/>
    <w:rsid w:val="0094721B"/>
    <w:rsid w:val="00951127"/>
    <w:rsid w:val="00955594"/>
    <w:rsid w:val="00970311"/>
    <w:rsid w:val="00984F22"/>
    <w:rsid w:val="0099285C"/>
    <w:rsid w:val="009A0625"/>
    <w:rsid w:val="009A169D"/>
    <w:rsid w:val="009A6A62"/>
    <w:rsid w:val="009B3A85"/>
    <w:rsid w:val="009D55CC"/>
    <w:rsid w:val="009E2F83"/>
    <w:rsid w:val="009F7939"/>
    <w:rsid w:val="00A05287"/>
    <w:rsid w:val="00A05EAB"/>
    <w:rsid w:val="00A20C53"/>
    <w:rsid w:val="00A23094"/>
    <w:rsid w:val="00A32C37"/>
    <w:rsid w:val="00A3491B"/>
    <w:rsid w:val="00A35170"/>
    <w:rsid w:val="00A42370"/>
    <w:rsid w:val="00A45F28"/>
    <w:rsid w:val="00A60E83"/>
    <w:rsid w:val="00A63133"/>
    <w:rsid w:val="00A655BC"/>
    <w:rsid w:val="00A661A5"/>
    <w:rsid w:val="00A6775C"/>
    <w:rsid w:val="00A70FA9"/>
    <w:rsid w:val="00A763A8"/>
    <w:rsid w:val="00A86BB0"/>
    <w:rsid w:val="00A90380"/>
    <w:rsid w:val="00A917FD"/>
    <w:rsid w:val="00AB05BC"/>
    <w:rsid w:val="00AC0AD4"/>
    <w:rsid w:val="00AC13D3"/>
    <w:rsid w:val="00AC3FD8"/>
    <w:rsid w:val="00AD7894"/>
    <w:rsid w:val="00AE0808"/>
    <w:rsid w:val="00AF37D8"/>
    <w:rsid w:val="00B10407"/>
    <w:rsid w:val="00B116BC"/>
    <w:rsid w:val="00B145E1"/>
    <w:rsid w:val="00B17C1A"/>
    <w:rsid w:val="00B22298"/>
    <w:rsid w:val="00B241D8"/>
    <w:rsid w:val="00B37FCC"/>
    <w:rsid w:val="00B42121"/>
    <w:rsid w:val="00B55ECA"/>
    <w:rsid w:val="00B609E2"/>
    <w:rsid w:val="00B6686E"/>
    <w:rsid w:val="00B673C8"/>
    <w:rsid w:val="00B7259E"/>
    <w:rsid w:val="00B7591D"/>
    <w:rsid w:val="00B7778A"/>
    <w:rsid w:val="00BA605E"/>
    <w:rsid w:val="00BB5E7B"/>
    <w:rsid w:val="00BB62C0"/>
    <w:rsid w:val="00BC0082"/>
    <w:rsid w:val="00BC6D0D"/>
    <w:rsid w:val="00BF1EB8"/>
    <w:rsid w:val="00BF6BE6"/>
    <w:rsid w:val="00C05793"/>
    <w:rsid w:val="00C12307"/>
    <w:rsid w:val="00C13EA8"/>
    <w:rsid w:val="00C16092"/>
    <w:rsid w:val="00C22732"/>
    <w:rsid w:val="00C22FC5"/>
    <w:rsid w:val="00C23F0F"/>
    <w:rsid w:val="00C24102"/>
    <w:rsid w:val="00C42FA1"/>
    <w:rsid w:val="00C46DBC"/>
    <w:rsid w:val="00C47E61"/>
    <w:rsid w:val="00C51469"/>
    <w:rsid w:val="00C5407E"/>
    <w:rsid w:val="00C540C5"/>
    <w:rsid w:val="00C94E12"/>
    <w:rsid w:val="00C972AF"/>
    <w:rsid w:val="00CB24AC"/>
    <w:rsid w:val="00CB5C5A"/>
    <w:rsid w:val="00CC58EC"/>
    <w:rsid w:val="00CC7D01"/>
    <w:rsid w:val="00CD4182"/>
    <w:rsid w:val="00CD5B17"/>
    <w:rsid w:val="00CD6032"/>
    <w:rsid w:val="00CD7C84"/>
    <w:rsid w:val="00CF692D"/>
    <w:rsid w:val="00D015F3"/>
    <w:rsid w:val="00D0253E"/>
    <w:rsid w:val="00D0744F"/>
    <w:rsid w:val="00D1364A"/>
    <w:rsid w:val="00D224F5"/>
    <w:rsid w:val="00D2575C"/>
    <w:rsid w:val="00D2635C"/>
    <w:rsid w:val="00D3039C"/>
    <w:rsid w:val="00D34042"/>
    <w:rsid w:val="00D45875"/>
    <w:rsid w:val="00D5209A"/>
    <w:rsid w:val="00D5299C"/>
    <w:rsid w:val="00D57381"/>
    <w:rsid w:val="00D659C0"/>
    <w:rsid w:val="00D768E7"/>
    <w:rsid w:val="00D839C2"/>
    <w:rsid w:val="00D92399"/>
    <w:rsid w:val="00D924FB"/>
    <w:rsid w:val="00D9467E"/>
    <w:rsid w:val="00DB2417"/>
    <w:rsid w:val="00DC5C79"/>
    <w:rsid w:val="00DD180F"/>
    <w:rsid w:val="00DD2B62"/>
    <w:rsid w:val="00DE4B0C"/>
    <w:rsid w:val="00DF13FE"/>
    <w:rsid w:val="00DF4118"/>
    <w:rsid w:val="00DF6E2B"/>
    <w:rsid w:val="00E04FBE"/>
    <w:rsid w:val="00E10808"/>
    <w:rsid w:val="00E2453D"/>
    <w:rsid w:val="00E36EAA"/>
    <w:rsid w:val="00E400B0"/>
    <w:rsid w:val="00E5182C"/>
    <w:rsid w:val="00E772A5"/>
    <w:rsid w:val="00E80085"/>
    <w:rsid w:val="00E81132"/>
    <w:rsid w:val="00E81405"/>
    <w:rsid w:val="00E93BD9"/>
    <w:rsid w:val="00EA11C9"/>
    <w:rsid w:val="00EA1EB5"/>
    <w:rsid w:val="00EB0111"/>
    <w:rsid w:val="00EC43EB"/>
    <w:rsid w:val="00ED207D"/>
    <w:rsid w:val="00EE1A44"/>
    <w:rsid w:val="00EE2B72"/>
    <w:rsid w:val="00F10DA6"/>
    <w:rsid w:val="00F10FD3"/>
    <w:rsid w:val="00F53363"/>
    <w:rsid w:val="00F55D64"/>
    <w:rsid w:val="00F57A54"/>
    <w:rsid w:val="00F62E39"/>
    <w:rsid w:val="00F646C0"/>
    <w:rsid w:val="00F74C6D"/>
    <w:rsid w:val="00F80285"/>
    <w:rsid w:val="00F80E14"/>
    <w:rsid w:val="00FA01A6"/>
    <w:rsid w:val="00FA1062"/>
    <w:rsid w:val="00FA2F07"/>
    <w:rsid w:val="00FB17E4"/>
    <w:rsid w:val="00FB30D0"/>
    <w:rsid w:val="00FB5A68"/>
    <w:rsid w:val="00FB7C2D"/>
    <w:rsid w:val="00FC5293"/>
    <w:rsid w:val="00FC537A"/>
    <w:rsid w:val="00FC5BFC"/>
    <w:rsid w:val="00FD5014"/>
    <w:rsid w:val="00FD6EBF"/>
    <w:rsid w:val="00FF5E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21"/>
    <w:pPr>
      <w:spacing w:after="80"/>
      <w:jc w:val="both"/>
    </w:pPr>
  </w:style>
  <w:style w:type="paragraph" w:styleId="Titre1">
    <w:name w:val="heading 1"/>
    <w:basedOn w:val="Normal"/>
    <w:next w:val="Normal"/>
    <w:link w:val="Titre1Car"/>
    <w:uiPriority w:val="9"/>
    <w:qFormat/>
    <w:rsid w:val="00600D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00D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00D9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43C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0D9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00D9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00D9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743CEA"/>
    <w:rPr>
      <w:rFonts w:asciiTheme="majorHAnsi" w:eastAsiaTheme="majorEastAsia" w:hAnsiTheme="majorHAnsi" w:cstheme="majorBidi"/>
      <w:b/>
      <w:bCs/>
      <w:i/>
      <w:iCs/>
      <w:color w:val="4F81BD" w:themeColor="accent1"/>
    </w:rPr>
  </w:style>
  <w:style w:type="paragraph" w:customStyle="1" w:styleId="Annexe">
    <w:name w:val="Annexe"/>
    <w:basedOn w:val="Titre1"/>
    <w:qFormat/>
    <w:rsid w:val="00B42121"/>
    <w:pPr>
      <w:jc w:val="center"/>
    </w:pPr>
    <w:rPr>
      <w:rFonts w:ascii="Arial" w:hAnsi="Arial" w:cs="Arial"/>
      <w:color w:val="auto"/>
      <w:sz w:val="30"/>
      <w:szCs w:val="30"/>
      <w:u w:val="single"/>
    </w:rPr>
  </w:style>
  <w:style w:type="paragraph" w:customStyle="1" w:styleId="1">
    <w:name w:val="1"/>
    <w:basedOn w:val="Titre2"/>
    <w:qFormat/>
    <w:rsid w:val="00B42121"/>
    <w:pPr>
      <w:numPr>
        <w:numId w:val="1"/>
      </w:numPr>
    </w:pPr>
    <w:rPr>
      <w:rFonts w:ascii="Arial" w:hAnsi="Arial" w:cs="Arial"/>
      <w:color w:val="auto"/>
      <w:sz w:val="24"/>
      <w:szCs w:val="24"/>
      <w:u w:val="single"/>
    </w:rPr>
  </w:style>
  <w:style w:type="paragraph" w:customStyle="1" w:styleId="11">
    <w:name w:val="1.1"/>
    <w:basedOn w:val="1"/>
    <w:qFormat/>
    <w:rsid w:val="00506358"/>
    <w:pPr>
      <w:numPr>
        <w:ilvl w:val="1"/>
      </w:numPr>
      <w:spacing w:before="120" w:after="120"/>
    </w:pPr>
    <w:rPr>
      <w:sz w:val="20"/>
      <w:szCs w:val="20"/>
      <w:u w:val="none"/>
    </w:rPr>
  </w:style>
  <w:style w:type="paragraph" w:customStyle="1" w:styleId="Standard">
    <w:name w:val="Standard"/>
    <w:rsid w:val="00506358"/>
    <w:pPr>
      <w:widowControl w:val="0"/>
      <w:tabs>
        <w:tab w:val="left" w:pos="720"/>
      </w:tabs>
      <w:suppressAutoHyphens/>
      <w:spacing w:after="0" w:line="100" w:lineRule="atLeast"/>
    </w:pPr>
    <w:rPr>
      <w:rFonts w:ascii="Times New Roman" w:eastAsia="SimSun" w:hAnsi="Times New Roman" w:cs="Times New Roman"/>
      <w:sz w:val="20"/>
      <w:szCs w:val="20"/>
      <w:lang w:eastAsia="fr-FR"/>
    </w:rPr>
  </w:style>
  <w:style w:type="character" w:styleId="lev">
    <w:name w:val="Strong"/>
    <w:basedOn w:val="Policepardfaut"/>
    <w:uiPriority w:val="22"/>
    <w:qFormat/>
    <w:rsid w:val="004D765F"/>
    <w:rPr>
      <w:b/>
      <w:bCs/>
    </w:rPr>
  </w:style>
  <w:style w:type="paragraph" w:styleId="Paragraphedeliste">
    <w:name w:val="List Paragraph"/>
    <w:aliases w:val="Bullet Niv 1,Listes"/>
    <w:basedOn w:val="Normal"/>
    <w:link w:val="ParagraphedelisteCar"/>
    <w:uiPriority w:val="34"/>
    <w:qFormat/>
    <w:rsid w:val="005D39F9"/>
    <w:pPr>
      <w:ind w:left="720"/>
      <w:contextualSpacing/>
    </w:pPr>
  </w:style>
  <w:style w:type="character" w:styleId="Accentuation">
    <w:name w:val="Emphasis"/>
    <w:basedOn w:val="Policepardfaut"/>
    <w:uiPriority w:val="20"/>
    <w:qFormat/>
    <w:rsid w:val="005D39F9"/>
    <w:rPr>
      <w:i/>
      <w:iCs/>
    </w:rPr>
  </w:style>
  <w:style w:type="paragraph" w:customStyle="1" w:styleId="Gras">
    <w:name w:val="Gras"/>
    <w:basedOn w:val="Titre4"/>
    <w:qFormat/>
    <w:rsid w:val="006F11E9"/>
    <w:pPr>
      <w:spacing w:after="120"/>
    </w:pPr>
    <w:rPr>
      <w:rFonts w:ascii="Arial" w:hAnsi="Arial" w:cs="Arial"/>
      <w:b w:val="0"/>
      <w:i w:val="0"/>
      <w:color w:val="auto"/>
      <w:sz w:val="20"/>
      <w:szCs w:val="20"/>
      <w:u w:val="single"/>
    </w:rPr>
  </w:style>
  <w:style w:type="paragraph" w:styleId="Notedebasdepage">
    <w:name w:val="footnote text"/>
    <w:basedOn w:val="Normal"/>
    <w:link w:val="NotedebasdepageCar"/>
    <w:uiPriority w:val="99"/>
    <w:semiHidden/>
    <w:unhideWhenUsed/>
    <w:rsid w:val="005806D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06D7"/>
    <w:rPr>
      <w:sz w:val="20"/>
      <w:szCs w:val="20"/>
    </w:rPr>
  </w:style>
  <w:style w:type="character" w:styleId="Appelnotedebasdep">
    <w:name w:val="footnote reference"/>
    <w:basedOn w:val="Policepardfaut"/>
    <w:uiPriority w:val="99"/>
    <w:semiHidden/>
    <w:unhideWhenUsed/>
    <w:rsid w:val="005806D7"/>
    <w:rPr>
      <w:vertAlign w:val="superscript"/>
    </w:rPr>
  </w:style>
  <w:style w:type="paragraph" w:customStyle="1" w:styleId="NormalEG">
    <w:name w:val="Normal EG"/>
    <w:basedOn w:val="Normal"/>
    <w:qFormat/>
    <w:rsid w:val="00B17C1A"/>
    <w:rPr>
      <w:rFonts w:ascii="Arial" w:hAnsi="Arial" w:cs="Arial"/>
      <w:sz w:val="20"/>
      <w:szCs w:val="20"/>
    </w:rPr>
  </w:style>
  <w:style w:type="character" w:styleId="Marquedecommentaire">
    <w:name w:val="annotation reference"/>
    <w:basedOn w:val="Policepardfaut"/>
    <w:uiPriority w:val="99"/>
    <w:semiHidden/>
    <w:unhideWhenUsed/>
    <w:rsid w:val="007E1BA3"/>
    <w:rPr>
      <w:sz w:val="16"/>
      <w:szCs w:val="16"/>
    </w:rPr>
  </w:style>
  <w:style w:type="paragraph" w:styleId="Commentaire">
    <w:name w:val="annotation text"/>
    <w:basedOn w:val="Normal"/>
    <w:link w:val="CommentaireCar"/>
    <w:uiPriority w:val="99"/>
    <w:semiHidden/>
    <w:unhideWhenUsed/>
    <w:rsid w:val="007E1BA3"/>
    <w:pPr>
      <w:spacing w:line="240" w:lineRule="auto"/>
    </w:pPr>
    <w:rPr>
      <w:sz w:val="20"/>
      <w:szCs w:val="20"/>
    </w:rPr>
  </w:style>
  <w:style w:type="character" w:customStyle="1" w:styleId="CommentaireCar">
    <w:name w:val="Commentaire Car"/>
    <w:basedOn w:val="Policepardfaut"/>
    <w:link w:val="Commentaire"/>
    <w:uiPriority w:val="99"/>
    <w:semiHidden/>
    <w:rsid w:val="007E1BA3"/>
    <w:rPr>
      <w:sz w:val="20"/>
      <w:szCs w:val="20"/>
    </w:rPr>
  </w:style>
  <w:style w:type="paragraph" w:styleId="Objetducommentaire">
    <w:name w:val="annotation subject"/>
    <w:basedOn w:val="Commentaire"/>
    <w:next w:val="Commentaire"/>
    <w:link w:val="ObjetducommentaireCar"/>
    <w:uiPriority w:val="99"/>
    <w:semiHidden/>
    <w:unhideWhenUsed/>
    <w:rsid w:val="007E1BA3"/>
    <w:rPr>
      <w:b/>
      <w:bCs/>
    </w:rPr>
  </w:style>
  <w:style w:type="character" w:customStyle="1" w:styleId="ObjetducommentaireCar">
    <w:name w:val="Objet du commentaire Car"/>
    <w:basedOn w:val="CommentaireCar"/>
    <w:link w:val="Objetducommentaire"/>
    <w:uiPriority w:val="99"/>
    <w:semiHidden/>
    <w:rsid w:val="007E1BA3"/>
    <w:rPr>
      <w:b/>
      <w:bCs/>
      <w:sz w:val="20"/>
      <w:szCs w:val="20"/>
    </w:rPr>
  </w:style>
  <w:style w:type="paragraph" w:styleId="Textedebulles">
    <w:name w:val="Balloon Text"/>
    <w:basedOn w:val="Normal"/>
    <w:link w:val="TextedebullesCar"/>
    <w:uiPriority w:val="99"/>
    <w:semiHidden/>
    <w:unhideWhenUsed/>
    <w:rsid w:val="007E1B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1BA3"/>
    <w:rPr>
      <w:rFonts w:ascii="Tahoma" w:hAnsi="Tahoma" w:cs="Tahoma"/>
      <w:sz w:val="16"/>
      <w:szCs w:val="16"/>
    </w:rPr>
  </w:style>
  <w:style w:type="paragraph" w:styleId="En-tte">
    <w:name w:val="header"/>
    <w:basedOn w:val="Normal"/>
    <w:link w:val="En-tteCar"/>
    <w:uiPriority w:val="99"/>
    <w:unhideWhenUsed/>
    <w:rsid w:val="00694D3D"/>
    <w:pPr>
      <w:tabs>
        <w:tab w:val="center" w:pos="4536"/>
        <w:tab w:val="right" w:pos="9072"/>
      </w:tabs>
      <w:spacing w:after="0" w:line="240" w:lineRule="auto"/>
    </w:pPr>
  </w:style>
  <w:style w:type="character" w:customStyle="1" w:styleId="En-tteCar">
    <w:name w:val="En-tête Car"/>
    <w:basedOn w:val="Policepardfaut"/>
    <w:link w:val="En-tte"/>
    <w:uiPriority w:val="99"/>
    <w:rsid w:val="00694D3D"/>
  </w:style>
  <w:style w:type="paragraph" w:styleId="Pieddepage">
    <w:name w:val="footer"/>
    <w:basedOn w:val="Normal"/>
    <w:link w:val="PieddepageCar"/>
    <w:uiPriority w:val="99"/>
    <w:unhideWhenUsed/>
    <w:rsid w:val="00694D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D3D"/>
  </w:style>
  <w:style w:type="table" w:styleId="Grilledutableau">
    <w:name w:val="Table Grid"/>
    <w:basedOn w:val="TableauNormal"/>
    <w:uiPriority w:val="59"/>
    <w:rsid w:val="00E108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015E3D"/>
    <w:pPr>
      <w:spacing w:after="0" w:line="240" w:lineRule="auto"/>
    </w:pPr>
    <w:rPr>
      <w:rFonts w:ascii="Arial" w:eastAsia="Times New Roman" w:hAnsi="Arial" w:cs="Arial"/>
      <w:sz w:val="20"/>
      <w:szCs w:val="20"/>
      <w:lang w:eastAsia="fr-FR"/>
    </w:rPr>
  </w:style>
  <w:style w:type="character" w:customStyle="1" w:styleId="Corpsdetexte2Car">
    <w:name w:val="Corps de texte 2 Car"/>
    <w:basedOn w:val="Policepardfaut"/>
    <w:link w:val="Corpsdetexte2"/>
    <w:rsid w:val="00015E3D"/>
    <w:rPr>
      <w:rFonts w:ascii="Arial" w:eastAsia="Times New Roman" w:hAnsi="Arial" w:cs="Arial"/>
      <w:sz w:val="20"/>
      <w:szCs w:val="20"/>
      <w:lang w:eastAsia="fr-FR"/>
    </w:rPr>
  </w:style>
  <w:style w:type="character" w:customStyle="1" w:styleId="Corpsdutexte">
    <w:name w:val="Corps du texte_"/>
    <w:basedOn w:val="Policepardfaut"/>
    <w:link w:val="Corpsdutexte0"/>
    <w:rsid w:val="00B116BC"/>
    <w:rPr>
      <w:rFonts w:ascii="Arial" w:eastAsia="Arial" w:hAnsi="Arial" w:cs="Arial"/>
      <w:sz w:val="21"/>
      <w:szCs w:val="21"/>
      <w:shd w:val="clear" w:color="auto" w:fill="FFFFFF"/>
    </w:rPr>
  </w:style>
  <w:style w:type="paragraph" w:customStyle="1" w:styleId="Corpsdutexte0">
    <w:name w:val="Corps du texte"/>
    <w:basedOn w:val="Normal"/>
    <w:link w:val="Corpsdutexte"/>
    <w:rsid w:val="00B116BC"/>
    <w:pPr>
      <w:widowControl w:val="0"/>
      <w:shd w:val="clear" w:color="auto" w:fill="FFFFFF"/>
      <w:spacing w:before="360" w:after="0" w:line="254" w:lineRule="exact"/>
      <w:ind w:hanging="440"/>
      <w:jc w:val="center"/>
    </w:pPr>
    <w:rPr>
      <w:rFonts w:ascii="Arial" w:eastAsia="Arial" w:hAnsi="Arial" w:cs="Arial"/>
      <w:sz w:val="21"/>
      <w:szCs w:val="21"/>
    </w:rPr>
  </w:style>
  <w:style w:type="paragraph" w:styleId="NormalWeb">
    <w:name w:val="Normal (Web)"/>
    <w:basedOn w:val="Normal"/>
    <w:uiPriority w:val="99"/>
    <w:semiHidden/>
    <w:unhideWhenUsed/>
    <w:rsid w:val="00E04FBE"/>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ParagraphedelisteCar">
    <w:name w:val="Paragraphe de liste Car"/>
    <w:aliases w:val="Bullet Niv 1 Car,Listes Car"/>
    <w:link w:val="Paragraphedeliste"/>
    <w:uiPriority w:val="34"/>
    <w:rsid w:val="00922142"/>
  </w:style>
  <w:style w:type="character" w:customStyle="1" w:styleId="ilfuvd">
    <w:name w:val="ilfuvd"/>
    <w:basedOn w:val="Policepardfaut"/>
    <w:rsid w:val="002360A9"/>
  </w:style>
  <w:style w:type="paragraph" w:styleId="Titre">
    <w:name w:val="Title"/>
    <w:basedOn w:val="Normal"/>
    <w:next w:val="Normal"/>
    <w:link w:val="TitreCar"/>
    <w:uiPriority w:val="10"/>
    <w:qFormat/>
    <w:rsid w:val="00A60E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60E83"/>
    <w:rPr>
      <w:rFonts w:asciiTheme="majorHAnsi" w:eastAsiaTheme="majorEastAsia" w:hAnsiTheme="majorHAnsi" w:cstheme="majorBidi"/>
      <w:color w:val="17365D" w:themeColor="text2" w:themeShade="BF"/>
      <w:spacing w:val="5"/>
      <w:kern w:val="28"/>
      <w:sz w:val="52"/>
      <w:szCs w:val="52"/>
    </w:rPr>
  </w:style>
  <w:style w:type="paragraph" w:styleId="Citationintense">
    <w:name w:val="Intense Quote"/>
    <w:basedOn w:val="Normal"/>
    <w:next w:val="Normal"/>
    <w:link w:val="CitationintenseCar"/>
    <w:uiPriority w:val="30"/>
    <w:qFormat/>
    <w:rsid w:val="00A60E8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A60E83"/>
    <w:rPr>
      <w:b/>
      <w:bCs/>
      <w:i/>
      <w:iCs/>
      <w:color w:val="4F81BD" w:themeColor="accent1"/>
    </w:rPr>
  </w:style>
  <w:style w:type="character" w:styleId="Lienhypertexte">
    <w:name w:val="Hyperlink"/>
    <w:rsid w:val="007437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21"/>
    <w:pPr>
      <w:spacing w:after="80"/>
      <w:jc w:val="both"/>
    </w:pPr>
  </w:style>
  <w:style w:type="paragraph" w:styleId="Titre1">
    <w:name w:val="heading 1"/>
    <w:basedOn w:val="Normal"/>
    <w:next w:val="Normal"/>
    <w:link w:val="Titre1Car"/>
    <w:uiPriority w:val="9"/>
    <w:qFormat/>
    <w:rsid w:val="00600D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00D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00D9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43C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0D9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00D9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00D9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743CEA"/>
    <w:rPr>
      <w:rFonts w:asciiTheme="majorHAnsi" w:eastAsiaTheme="majorEastAsia" w:hAnsiTheme="majorHAnsi" w:cstheme="majorBidi"/>
      <w:b/>
      <w:bCs/>
      <w:i/>
      <w:iCs/>
      <w:color w:val="4F81BD" w:themeColor="accent1"/>
    </w:rPr>
  </w:style>
  <w:style w:type="paragraph" w:customStyle="1" w:styleId="Annexe">
    <w:name w:val="Annexe"/>
    <w:basedOn w:val="Titre1"/>
    <w:qFormat/>
    <w:rsid w:val="00B42121"/>
    <w:pPr>
      <w:jc w:val="center"/>
    </w:pPr>
    <w:rPr>
      <w:rFonts w:ascii="Arial" w:hAnsi="Arial" w:cs="Arial"/>
      <w:color w:val="auto"/>
      <w:sz w:val="30"/>
      <w:szCs w:val="30"/>
      <w:u w:val="single"/>
    </w:rPr>
  </w:style>
  <w:style w:type="paragraph" w:customStyle="1" w:styleId="1">
    <w:name w:val="1"/>
    <w:basedOn w:val="Titre2"/>
    <w:qFormat/>
    <w:rsid w:val="00B42121"/>
    <w:pPr>
      <w:numPr>
        <w:numId w:val="1"/>
      </w:numPr>
    </w:pPr>
    <w:rPr>
      <w:rFonts w:ascii="Arial" w:hAnsi="Arial" w:cs="Arial"/>
      <w:color w:val="auto"/>
      <w:sz w:val="24"/>
      <w:szCs w:val="24"/>
      <w:u w:val="single"/>
    </w:rPr>
  </w:style>
  <w:style w:type="paragraph" w:customStyle="1" w:styleId="11">
    <w:name w:val="1.1"/>
    <w:basedOn w:val="1"/>
    <w:qFormat/>
    <w:rsid w:val="00506358"/>
    <w:pPr>
      <w:numPr>
        <w:ilvl w:val="1"/>
      </w:numPr>
      <w:spacing w:before="120" w:after="120"/>
    </w:pPr>
    <w:rPr>
      <w:sz w:val="20"/>
      <w:szCs w:val="20"/>
      <w:u w:val="none"/>
    </w:rPr>
  </w:style>
  <w:style w:type="paragraph" w:customStyle="1" w:styleId="Standard">
    <w:name w:val="Standard"/>
    <w:rsid w:val="00506358"/>
    <w:pPr>
      <w:widowControl w:val="0"/>
      <w:tabs>
        <w:tab w:val="left" w:pos="720"/>
      </w:tabs>
      <w:suppressAutoHyphens/>
      <w:spacing w:after="0" w:line="100" w:lineRule="atLeast"/>
    </w:pPr>
    <w:rPr>
      <w:rFonts w:ascii="Times New Roman" w:eastAsia="SimSun" w:hAnsi="Times New Roman" w:cs="Times New Roman"/>
      <w:sz w:val="20"/>
      <w:szCs w:val="20"/>
      <w:lang w:eastAsia="fr-FR"/>
    </w:rPr>
  </w:style>
  <w:style w:type="character" w:styleId="lev">
    <w:name w:val="Strong"/>
    <w:basedOn w:val="Policepardfaut"/>
    <w:uiPriority w:val="22"/>
    <w:qFormat/>
    <w:rsid w:val="004D765F"/>
    <w:rPr>
      <w:b/>
      <w:bCs/>
    </w:rPr>
  </w:style>
  <w:style w:type="paragraph" w:styleId="Paragraphedeliste">
    <w:name w:val="List Paragraph"/>
    <w:aliases w:val="Bullet Niv 1,Listes"/>
    <w:basedOn w:val="Normal"/>
    <w:link w:val="ParagraphedelisteCar"/>
    <w:uiPriority w:val="34"/>
    <w:qFormat/>
    <w:rsid w:val="005D39F9"/>
    <w:pPr>
      <w:ind w:left="720"/>
      <w:contextualSpacing/>
    </w:pPr>
  </w:style>
  <w:style w:type="character" w:styleId="Accentuation">
    <w:name w:val="Emphasis"/>
    <w:basedOn w:val="Policepardfaut"/>
    <w:uiPriority w:val="20"/>
    <w:qFormat/>
    <w:rsid w:val="005D39F9"/>
    <w:rPr>
      <w:i/>
      <w:iCs/>
    </w:rPr>
  </w:style>
  <w:style w:type="paragraph" w:customStyle="1" w:styleId="Gras">
    <w:name w:val="Gras"/>
    <w:basedOn w:val="Titre4"/>
    <w:qFormat/>
    <w:rsid w:val="006F11E9"/>
    <w:pPr>
      <w:spacing w:after="120"/>
    </w:pPr>
    <w:rPr>
      <w:rFonts w:ascii="Arial" w:hAnsi="Arial" w:cs="Arial"/>
      <w:b w:val="0"/>
      <w:i w:val="0"/>
      <w:color w:val="auto"/>
      <w:sz w:val="20"/>
      <w:szCs w:val="20"/>
      <w:u w:val="single"/>
    </w:rPr>
  </w:style>
  <w:style w:type="paragraph" w:styleId="Notedebasdepage">
    <w:name w:val="footnote text"/>
    <w:basedOn w:val="Normal"/>
    <w:link w:val="NotedebasdepageCar"/>
    <w:uiPriority w:val="99"/>
    <w:semiHidden/>
    <w:unhideWhenUsed/>
    <w:rsid w:val="005806D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06D7"/>
    <w:rPr>
      <w:sz w:val="20"/>
      <w:szCs w:val="20"/>
    </w:rPr>
  </w:style>
  <w:style w:type="character" w:styleId="Appelnotedebasdep">
    <w:name w:val="footnote reference"/>
    <w:basedOn w:val="Policepardfaut"/>
    <w:uiPriority w:val="99"/>
    <w:semiHidden/>
    <w:unhideWhenUsed/>
    <w:rsid w:val="005806D7"/>
    <w:rPr>
      <w:vertAlign w:val="superscript"/>
    </w:rPr>
  </w:style>
  <w:style w:type="paragraph" w:customStyle="1" w:styleId="NormalEG">
    <w:name w:val="Normal EG"/>
    <w:basedOn w:val="Normal"/>
    <w:qFormat/>
    <w:rsid w:val="00B17C1A"/>
    <w:rPr>
      <w:rFonts w:ascii="Arial" w:hAnsi="Arial" w:cs="Arial"/>
      <w:sz w:val="20"/>
      <w:szCs w:val="20"/>
    </w:rPr>
  </w:style>
  <w:style w:type="character" w:styleId="Marquedecommentaire">
    <w:name w:val="annotation reference"/>
    <w:basedOn w:val="Policepardfaut"/>
    <w:uiPriority w:val="99"/>
    <w:semiHidden/>
    <w:unhideWhenUsed/>
    <w:rsid w:val="007E1BA3"/>
    <w:rPr>
      <w:sz w:val="16"/>
      <w:szCs w:val="16"/>
    </w:rPr>
  </w:style>
  <w:style w:type="paragraph" w:styleId="Commentaire">
    <w:name w:val="annotation text"/>
    <w:basedOn w:val="Normal"/>
    <w:link w:val="CommentaireCar"/>
    <w:uiPriority w:val="99"/>
    <w:semiHidden/>
    <w:unhideWhenUsed/>
    <w:rsid w:val="007E1BA3"/>
    <w:pPr>
      <w:spacing w:line="240" w:lineRule="auto"/>
    </w:pPr>
    <w:rPr>
      <w:sz w:val="20"/>
      <w:szCs w:val="20"/>
    </w:rPr>
  </w:style>
  <w:style w:type="character" w:customStyle="1" w:styleId="CommentaireCar">
    <w:name w:val="Commentaire Car"/>
    <w:basedOn w:val="Policepardfaut"/>
    <w:link w:val="Commentaire"/>
    <w:uiPriority w:val="99"/>
    <w:semiHidden/>
    <w:rsid w:val="007E1BA3"/>
    <w:rPr>
      <w:sz w:val="20"/>
      <w:szCs w:val="20"/>
    </w:rPr>
  </w:style>
  <w:style w:type="paragraph" w:styleId="Objetducommentaire">
    <w:name w:val="annotation subject"/>
    <w:basedOn w:val="Commentaire"/>
    <w:next w:val="Commentaire"/>
    <w:link w:val="ObjetducommentaireCar"/>
    <w:uiPriority w:val="99"/>
    <w:semiHidden/>
    <w:unhideWhenUsed/>
    <w:rsid w:val="007E1BA3"/>
    <w:rPr>
      <w:b/>
      <w:bCs/>
    </w:rPr>
  </w:style>
  <w:style w:type="character" w:customStyle="1" w:styleId="ObjetducommentaireCar">
    <w:name w:val="Objet du commentaire Car"/>
    <w:basedOn w:val="CommentaireCar"/>
    <w:link w:val="Objetducommentaire"/>
    <w:uiPriority w:val="99"/>
    <w:semiHidden/>
    <w:rsid w:val="007E1BA3"/>
    <w:rPr>
      <w:b/>
      <w:bCs/>
      <w:sz w:val="20"/>
      <w:szCs w:val="20"/>
    </w:rPr>
  </w:style>
  <w:style w:type="paragraph" w:styleId="Textedebulles">
    <w:name w:val="Balloon Text"/>
    <w:basedOn w:val="Normal"/>
    <w:link w:val="TextedebullesCar"/>
    <w:uiPriority w:val="99"/>
    <w:semiHidden/>
    <w:unhideWhenUsed/>
    <w:rsid w:val="007E1B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1BA3"/>
    <w:rPr>
      <w:rFonts w:ascii="Tahoma" w:hAnsi="Tahoma" w:cs="Tahoma"/>
      <w:sz w:val="16"/>
      <w:szCs w:val="16"/>
    </w:rPr>
  </w:style>
  <w:style w:type="paragraph" w:styleId="En-tte">
    <w:name w:val="header"/>
    <w:basedOn w:val="Normal"/>
    <w:link w:val="En-tteCar"/>
    <w:uiPriority w:val="99"/>
    <w:unhideWhenUsed/>
    <w:rsid w:val="00694D3D"/>
    <w:pPr>
      <w:tabs>
        <w:tab w:val="center" w:pos="4536"/>
        <w:tab w:val="right" w:pos="9072"/>
      </w:tabs>
      <w:spacing w:after="0" w:line="240" w:lineRule="auto"/>
    </w:pPr>
  </w:style>
  <w:style w:type="character" w:customStyle="1" w:styleId="En-tteCar">
    <w:name w:val="En-tête Car"/>
    <w:basedOn w:val="Policepardfaut"/>
    <w:link w:val="En-tte"/>
    <w:uiPriority w:val="99"/>
    <w:rsid w:val="00694D3D"/>
  </w:style>
  <w:style w:type="paragraph" w:styleId="Pieddepage">
    <w:name w:val="footer"/>
    <w:basedOn w:val="Normal"/>
    <w:link w:val="PieddepageCar"/>
    <w:uiPriority w:val="99"/>
    <w:unhideWhenUsed/>
    <w:rsid w:val="00694D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D3D"/>
  </w:style>
  <w:style w:type="table" w:styleId="Grilledutableau">
    <w:name w:val="Table Grid"/>
    <w:basedOn w:val="TableauNormal"/>
    <w:uiPriority w:val="59"/>
    <w:rsid w:val="00E108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015E3D"/>
    <w:pPr>
      <w:spacing w:after="0" w:line="240" w:lineRule="auto"/>
    </w:pPr>
    <w:rPr>
      <w:rFonts w:ascii="Arial" w:eastAsia="Times New Roman" w:hAnsi="Arial" w:cs="Arial"/>
      <w:sz w:val="20"/>
      <w:szCs w:val="20"/>
      <w:lang w:eastAsia="fr-FR"/>
    </w:rPr>
  </w:style>
  <w:style w:type="character" w:customStyle="1" w:styleId="Corpsdetexte2Car">
    <w:name w:val="Corps de texte 2 Car"/>
    <w:basedOn w:val="Policepardfaut"/>
    <w:link w:val="Corpsdetexte2"/>
    <w:rsid w:val="00015E3D"/>
    <w:rPr>
      <w:rFonts w:ascii="Arial" w:eastAsia="Times New Roman" w:hAnsi="Arial" w:cs="Arial"/>
      <w:sz w:val="20"/>
      <w:szCs w:val="20"/>
      <w:lang w:eastAsia="fr-FR"/>
    </w:rPr>
  </w:style>
  <w:style w:type="character" w:customStyle="1" w:styleId="Corpsdutexte">
    <w:name w:val="Corps du texte_"/>
    <w:basedOn w:val="Policepardfaut"/>
    <w:link w:val="Corpsdutexte0"/>
    <w:rsid w:val="00B116BC"/>
    <w:rPr>
      <w:rFonts w:ascii="Arial" w:eastAsia="Arial" w:hAnsi="Arial" w:cs="Arial"/>
      <w:sz w:val="21"/>
      <w:szCs w:val="21"/>
      <w:shd w:val="clear" w:color="auto" w:fill="FFFFFF"/>
    </w:rPr>
  </w:style>
  <w:style w:type="paragraph" w:customStyle="1" w:styleId="Corpsdutexte0">
    <w:name w:val="Corps du texte"/>
    <w:basedOn w:val="Normal"/>
    <w:link w:val="Corpsdutexte"/>
    <w:rsid w:val="00B116BC"/>
    <w:pPr>
      <w:widowControl w:val="0"/>
      <w:shd w:val="clear" w:color="auto" w:fill="FFFFFF"/>
      <w:spacing w:before="360" w:after="0" w:line="254" w:lineRule="exact"/>
      <w:ind w:hanging="440"/>
      <w:jc w:val="center"/>
    </w:pPr>
    <w:rPr>
      <w:rFonts w:ascii="Arial" w:eastAsia="Arial" w:hAnsi="Arial" w:cs="Arial"/>
      <w:sz w:val="21"/>
      <w:szCs w:val="21"/>
    </w:rPr>
  </w:style>
  <w:style w:type="paragraph" w:styleId="NormalWeb">
    <w:name w:val="Normal (Web)"/>
    <w:basedOn w:val="Normal"/>
    <w:uiPriority w:val="99"/>
    <w:semiHidden/>
    <w:unhideWhenUsed/>
    <w:rsid w:val="00E04FBE"/>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ParagraphedelisteCar">
    <w:name w:val="Paragraphe de liste Car"/>
    <w:aliases w:val="Bullet Niv 1 Car,Listes Car"/>
    <w:link w:val="Paragraphedeliste"/>
    <w:uiPriority w:val="34"/>
    <w:rsid w:val="00922142"/>
  </w:style>
  <w:style w:type="character" w:customStyle="1" w:styleId="ilfuvd">
    <w:name w:val="ilfuvd"/>
    <w:basedOn w:val="Policepardfaut"/>
    <w:rsid w:val="002360A9"/>
  </w:style>
  <w:style w:type="paragraph" w:styleId="Titre">
    <w:name w:val="Title"/>
    <w:basedOn w:val="Normal"/>
    <w:next w:val="Normal"/>
    <w:link w:val="TitreCar"/>
    <w:uiPriority w:val="10"/>
    <w:qFormat/>
    <w:rsid w:val="00A60E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60E83"/>
    <w:rPr>
      <w:rFonts w:asciiTheme="majorHAnsi" w:eastAsiaTheme="majorEastAsia" w:hAnsiTheme="majorHAnsi" w:cstheme="majorBidi"/>
      <w:color w:val="17365D" w:themeColor="text2" w:themeShade="BF"/>
      <w:spacing w:val="5"/>
      <w:kern w:val="28"/>
      <w:sz w:val="52"/>
      <w:szCs w:val="52"/>
    </w:rPr>
  </w:style>
  <w:style w:type="paragraph" w:styleId="Citationintense">
    <w:name w:val="Intense Quote"/>
    <w:basedOn w:val="Normal"/>
    <w:next w:val="Normal"/>
    <w:link w:val="CitationintenseCar"/>
    <w:uiPriority w:val="30"/>
    <w:qFormat/>
    <w:rsid w:val="00A60E8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A60E83"/>
    <w:rPr>
      <w:b/>
      <w:bCs/>
      <w:i/>
      <w:iCs/>
      <w:color w:val="4F81BD" w:themeColor="accent1"/>
    </w:rPr>
  </w:style>
  <w:style w:type="character" w:styleId="Lienhypertexte">
    <w:name w:val="Hyperlink"/>
    <w:rsid w:val="007437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71864">
      <w:bodyDiv w:val="1"/>
      <w:marLeft w:val="0"/>
      <w:marRight w:val="0"/>
      <w:marTop w:val="0"/>
      <w:marBottom w:val="0"/>
      <w:divBdr>
        <w:top w:val="none" w:sz="0" w:space="0" w:color="auto"/>
        <w:left w:val="none" w:sz="0" w:space="0" w:color="auto"/>
        <w:bottom w:val="none" w:sz="0" w:space="0" w:color="auto"/>
        <w:right w:val="none" w:sz="0" w:space="0" w:color="auto"/>
      </w:divBdr>
    </w:div>
    <w:div w:id="538706387">
      <w:bodyDiv w:val="1"/>
      <w:marLeft w:val="0"/>
      <w:marRight w:val="0"/>
      <w:marTop w:val="0"/>
      <w:marBottom w:val="0"/>
      <w:divBdr>
        <w:top w:val="none" w:sz="0" w:space="0" w:color="auto"/>
        <w:left w:val="none" w:sz="0" w:space="0" w:color="auto"/>
        <w:bottom w:val="none" w:sz="0" w:space="0" w:color="auto"/>
        <w:right w:val="none" w:sz="0" w:space="0" w:color="auto"/>
      </w:divBdr>
    </w:div>
    <w:div w:id="865480197">
      <w:bodyDiv w:val="1"/>
      <w:marLeft w:val="0"/>
      <w:marRight w:val="0"/>
      <w:marTop w:val="0"/>
      <w:marBottom w:val="0"/>
      <w:divBdr>
        <w:top w:val="none" w:sz="0" w:space="0" w:color="auto"/>
        <w:left w:val="none" w:sz="0" w:space="0" w:color="auto"/>
        <w:bottom w:val="none" w:sz="0" w:space="0" w:color="auto"/>
        <w:right w:val="none" w:sz="0" w:space="0" w:color="auto"/>
      </w:divBdr>
    </w:div>
    <w:div w:id="905259281">
      <w:bodyDiv w:val="1"/>
      <w:marLeft w:val="0"/>
      <w:marRight w:val="0"/>
      <w:marTop w:val="0"/>
      <w:marBottom w:val="0"/>
      <w:divBdr>
        <w:top w:val="none" w:sz="0" w:space="0" w:color="auto"/>
        <w:left w:val="none" w:sz="0" w:space="0" w:color="auto"/>
        <w:bottom w:val="none" w:sz="0" w:space="0" w:color="auto"/>
        <w:right w:val="none" w:sz="0" w:space="0" w:color="auto"/>
      </w:divBdr>
      <w:divsChild>
        <w:div w:id="452676706">
          <w:marLeft w:val="0"/>
          <w:marRight w:val="0"/>
          <w:marTop w:val="0"/>
          <w:marBottom w:val="0"/>
          <w:divBdr>
            <w:top w:val="none" w:sz="0" w:space="0" w:color="auto"/>
            <w:left w:val="none" w:sz="0" w:space="0" w:color="auto"/>
            <w:bottom w:val="none" w:sz="0" w:space="0" w:color="auto"/>
            <w:right w:val="none" w:sz="0" w:space="0" w:color="auto"/>
          </w:divBdr>
        </w:div>
        <w:div w:id="1552690855">
          <w:marLeft w:val="0"/>
          <w:marRight w:val="0"/>
          <w:marTop w:val="0"/>
          <w:marBottom w:val="0"/>
          <w:divBdr>
            <w:top w:val="none" w:sz="0" w:space="0" w:color="auto"/>
            <w:left w:val="none" w:sz="0" w:space="0" w:color="auto"/>
            <w:bottom w:val="none" w:sz="0" w:space="0" w:color="auto"/>
            <w:right w:val="none" w:sz="0" w:space="0" w:color="auto"/>
          </w:divBdr>
        </w:div>
        <w:div w:id="1551919419">
          <w:marLeft w:val="0"/>
          <w:marRight w:val="0"/>
          <w:marTop w:val="0"/>
          <w:marBottom w:val="0"/>
          <w:divBdr>
            <w:top w:val="none" w:sz="0" w:space="0" w:color="auto"/>
            <w:left w:val="none" w:sz="0" w:space="0" w:color="auto"/>
            <w:bottom w:val="none" w:sz="0" w:space="0" w:color="auto"/>
            <w:right w:val="none" w:sz="0" w:space="0" w:color="auto"/>
          </w:divBdr>
        </w:div>
      </w:divsChild>
    </w:div>
    <w:div w:id="952828272">
      <w:bodyDiv w:val="1"/>
      <w:marLeft w:val="0"/>
      <w:marRight w:val="0"/>
      <w:marTop w:val="0"/>
      <w:marBottom w:val="0"/>
      <w:divBdr>
        <w:top w:val="none" w:sz="0" w:space="0" w:color="auto"/>
        <w:left w:val="none" w:sz="0" w:space="0" w:color="auto"/>
        <w:bottom w:val="none" w:sz="0" w:space="0" w:color="auto"/>
        <w:right w:val="none" w:sz="0" w:space="0" w:color="auto"/>
      </w:divBdr>
      <w:divsChild>
        <w:div w:id="1825318826">
          <w:marLeft w:val="0"/>
          <w:marRight w:val="0"/>
          <w:marTop w:val="0"/>
          <w:marBottom w:val="0"/>
          <w:divBdr>
            <w:top w:val="none" w:sz="0" w:space="0" w:color="auto"/>
            <w:left w:val="none" w:sz="0" w:space="0" w:color="auto"/>
            <w:bottom w:val="none" w:sz="0" w:space="0" w:color="auto"/>
            <w:right w:val="none" w:sz="0" w:space="0" w:color="auto"/>
          </w:divBdr>
          <w:divsChild>
            <w:div w:id="2021733412">
              <w:marLeft w:val="-150"/>
              <w:marRight w:val="-150"/>
              <w:marTop w:val="0"/>
              <w:marBottom w:val="0"/>
              <w:divBdr>
                <w:top w:val="none" w:sz="0" w:space="0" w:color="auto"/>
                <w:left w:val="none" w:sz="0" w:space="0" w:color="auto"/>
                <w:bottom w:val="none" w:sz="0" w:space="0" w:color="auto"/>
                <w:right w:val="none" w:sz="0" w:space="0" w:color="auto"/>
              </w:divBdr>
              <w:divsChild>
                <w:div w:id="674040195">
                  <w:marLeft w:val="0"/>
                  <w:marRight w:val="0"/>
                  <w:marTop w:val="0"/>
                  <w:marBottom w:val="0"/>
                  <w:divBdr>
                    <w:top w:val="none" w:sz="0" w:space="0" w:color="auto"/>
                    <w:left w:val="none" w:sz="0" w:space="0" w:color="auto"/>
                    <w:bottom w:val="none" w:sz="0" w:space="0" w:color="auto"/>
                    <w:right w:val="none" w:sz="0" w:space="0" w:color="auto"/>
                  </w:divBdr>
                  <w:divsChild>
                    <w:div w:id="1954746880">
                      <w:marLeft w:val="0"/>
                      <w:marRight w:val="0"/>
                      <w:marTop w:val="0"/>
                      <w:marBottom w:val="0"/>
                      <w:divBdr>
                        <w:top w:val="none" w:sz="0" w:space="0" w:color="auto"/>
                        <w:left w:val="none" w:sz="0" w:space="0" w:color="auto"/>
                        <w:bottom w:val="none" w:sz="0" w:space="0" w:color="auto"/>
                        <w:right w:val="none" w:sz="0" w:space="0" w:color="auto"/>
                      </w:divBdr>
                      <w:divsChild>
                        <w:div w:id="734207415">
                          <w:marLeft w:val="0"/>
                          <w:marRight w:val="0"/>
                          <w:marTop w:val="0"/>
                          <w:marBottom w:val="0"/>
                          <w:divBdr>
                            <w:top w:val="none" w:sz="0" w:space="0" w:color="auto"/>
                            <w:left w:val="none" w:sz="0" w:space="0" w:color="auto"/>
                            <w:bottom w:val="none" w:sz="0" w:space="0" w:color="auto"/>
                            <w:right w:val="none" w:sz="0" w:space="0" w:color="auto"/>
                          </w:divBdr>
                          <w:divsChild>
                            <w:div w:id="775059392">
                              <w:marLeft w:val="0"/>
                              <w:marRight w:val="0"/>
                              <w:marTop w:val="0"/>
                              <w:marBottom w:val="0"/>
                              <w:divBdr>
                                <w:top w:val="none" w:sz="0" w:space="0" w:color="auto"/>
                                <w:left w:val="none" w:sz="0" w:space="0" w:color="auto"/>
                                <w:bottom w:val="none" w:sz="0" w:space="0" w:color="auto"/>
                                <w:right w:val="none" w:sz="0" w:space="0" w:color="auto"/>
                              </w:divBdr>
                              <w:divsChild>
                                <w:div w:id="1929579785">
                                  <w:marLeft w:val="0"/>
                                  <w:marRight w:val="0"/>
                                  <w:marTop w:val="0"/>
                                  <w:marBottom w:val="0"/>
                                  <w:divBdr>
                                    <w:top w:val="none" w:sz="0" w:space="0" w:color="auto"/>
                                    <w:left w:val="none" w:sz="0" w:space="0" w:color="auto"/>
                                    <w:bottom w:val="none" w:sz="0" w:space="0" w:color="auto"/>
                                    <w:right w:val="none" w:sz="0" w:space="0" w:color="auto"/>
                                  </w:divBdr>
                                  <w:divsChild>
                                    <w:div w:id="606818309">
                                      <w:marLeft w:val="0"/>
                                      <w:marRight w:val="0"/>
                                      <w:marTop w:val="0"/>
                                      <w:marBottom w:val="0"/>
                                      <w:divBdr>
                                        <w:top w:val="none" w:sz="0" w:space="0" w:color="auto"/>
                                        <w:left w:val="none" w:sz="0" w:space="0" w:color="auto"/>
                                        <w:bottom w:val="none" w:sz="0" w:space="0" w:color="auto"/>
                                        <w:right w:val="none" w:sz="0" w:space="0" w:color="auto"/>
                                      </w:divBdr>
                                      <w:divsChild>
                                        <w:div w:id="391856444">
                                          <w:marLeft w:val="0"/>
                                          <w:marRight w:val="0"/>
                                          <w:marTop w:val="0"/>
                                          <w:marBottom w:val="0"/>
                                          <w:divBdr>
                                            <w:top w:val="none" w:sz="0" w:space="0" w:color="auto"/>
                                            <w:left w:val="none" w:sz="0" w:space="0" w:color="auto"/>
                                            <w:bottom w:val="none" w:sz="0" w:space="0" w:color="auto"/>
                                            <w:right w:val="none" w:sz="0" w:space="0" w:color="auto"/>
                                          </w:divBdr>
                                          <w:divsChild>
                                            <w:div w:id="242881698">
                                              <w:marLeft w:val="0"/>
                                              <w:marRight w:val="0"/>
                                              <w:marTop w:val="0"/>
                                              <w:marBottom w:val="0"/>
                                              <w:divBdr>
                                                <w:top w:val="none" w:sz="0" w:space="0" w:color="auto"/>
                                                <w:left w:val="none" w:sz="0" w:space="0" w:color="auto"/>
                                                <w:bottom w:val="none" w:sz="0" w:space="0" w:color="auto"/>
                                                <w:right w:val="none" w:sz="0" w:space="0" w:color="auto"/>
                                              </w:divBdr>
                                              <w:divsChild>
                                                <w:div w:id="11191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203951">
      <w:bodyDiv w:val="1"/>
      <w:marLeft w:val="0"/>
      <w:marRight w:val="0"/>
      <w:marTop w:val="0"/>
      <w:marBottom w:val="0"/>
      <w:divBdr>
        <w:top w:val="none" w:sz="0" w:space="0" w:color="auto"/>
        <w:left w:val="none" w:sz="0" w:space="0" w:color="auto"/>
        <w:bottom w:val="none" w:sz="0" w:space="0" w:color="auto"/>
        <w:right w:val="none" w:sz="0" w:space="0" w:color="auto"/>
      </w:divBdr>
    </w:div>
    <w:div w:id="1140221355">
      <w:bodyDiv w:val="1"/>
      <w:marLeft w:val="0"/>
      <w:marRight w:val="0"/>
      <w:marTop w:val="0"/>
      <w:marBottom w:val="0"/>
      <w:divBdr>
        <w:top w:val="none" w:sz="0" w:space="0" w:color="auto"/>
        <w:left w:val="none" w:sz="0" w:space="0" w:color="auto"/>
        <w:bottom w:val="none" w:sz="0" w:space="0" w:color="auto"/>
        <w:right w:val="none" w:sz="0" w:space="0" w:color="auto"/>
      </w:divBdr>
      <w:divsChild>
        <w:div w:id="2136215139">
          <w:marLeft w:val="0"/>
          <w:marRight w:val="0"/>
          <w:marTop w:val="0"/>
          <w:marBottom w:val="0"/>
          <w:divBdr>
            <w:top w:val="none" w:sz="0" w:space="0" w:color="auto"/>
            <w:left w:val="none" w:sz="0" w:space="0" w:color="auto"/>
            <w:bottom w:val="none" w:sz="0" w:space="0" w:color="auto"/>
            <w:right w:val="none" w:sz="0" w:space="0" w:color="auto"/>
          </w:divBdr>
        </w:div>
        <w:div w:id="1848862548">
          <w:marLeft w:val="0"/>
          <w:marRight w:val="0"/>
          <w:marTop w:val="0"/>
          <w:marBottom w:val="0"/>
          <w:divBdr>
            <w:top w:val="none" w:sz="0" w:space="0" w:color="auto"/>
            <w:left w:val="none" w:sz="0" w:space="0" w:color="auto"/>
            <w:bottom w:val="none" w:sz="0" w:space="0" w:color="auto"/>
            <w:right w:val="none" w:sz="0" w:space="0" w:color="auto"/>
          </w:divBdr>
        </w:div>
        <w:div w:id="397436549">
          <w:marLeft w:val="0"/>
          <w:marRight w:val="0"/>
          <w:marTop w:val="0"/>
          <w:marBottom w:val="0"/>
          <w:divBdr>
            <w:top w:val="none" w:sz="0" w:space="0" w:color="auto"/>
            <w:left w:val="none" w:sz="0" w:space="0" w:color="auto"/>
            <w:bottom w:val="none" w:sz="0" w:space="0" w:color="auto"/>
            <w:right w:val="none" w:sz="0" w:space="0" w:color="auto"/>
          </w:divBdr>
        </w:div>
        <w:div w:id="802115353">
          <w:marLeft w:val="0"/>
          <w:marRight w:val="0"/>
          <w:marTop w:val="0"/>
          <w:marBottom w:val="0"/>
          <w:divBdr>
            <w:top w:val="none" w:sz="0" w:space="0" w:color="auto"/>
            <w:left w:val="none" w:sz="0" w:space="0" w:color="auto"/>
            <w:bottom w:val="none" w:sz="0" w:space="0" w:color="auto"/>
            <w:right w:val="none" w:sz="0" w:space="0" w:color="auto"/>
          </w:divBdr>
        </w:div>
        <w:div w:id="578977749">
          <w:marLeft w:val="0"/>
          <w:marRight w:val="0"/>
          <w:marTop w:val="0"/>
          <w:marBottom w:val="0"/>
          <w:divBdr>
            <w:top w:val="none" w:sz="0" w:space="0" w:color="auto"/>
            <w:left w:val="none" w:sz="0" w:space="0" w:color="auto"/>
            <w:bottom w:val="none" w:sz="0" w:space="0" w:color="auto"/>
            <w:right w:val="none" w:sz="0" w:space="0" w:color="auto"/>
          </w:divBdr>
        </w:div>
        <w:div w:id="1188376072">
          <w:marLeft w:val="0"/>
          <w:marRight w:val="0"/>
          <w:marTop w:val="0"/>
          <w:marBottom w:val="0"/>
          <w:divBdr>
            <w:top w:val="none" w:sz="0" w:space="0" w:color="auto"/>
            <w:left w:val="none" w:sz="0" w:space="0" w:color="auto"/>
            <w:bottom w:val="none" w:sz="0" w:space="0" w:color="auto"/>
            <w:right w:val="none" w:sz="0" w:space="0" w:color="auto"/>
          </w:divBdr>
        </w:div>
        <w:div w:id="2023894402">
          <w:marLeft w:val="0"/>
          <w:marRight w:val="0"/>
          <w:marTop w:val="0"/>
          <w:marBottom w:val="0"/>
          <w:divBdr>
            <w:top w:val="none" w:sz="0" w:space="0" w:color="auto"/>
            <w:left w:val="none" w:sz="0" w:space="0" w:color="auto"/>
            <w:bottom w:val="none" w:sz="0" w:space="0" w:color="auto"/>
            <w:right w:val="none" w:sz="0" w:space="0" w:color="auto"/>
          </w:divBdr>
        </w:div>
        <w:div w:id="2076971738">
          <w:marLeft w:val="0"/>
          <w:marRight w:val="0"/>
          <w:marTop w:val="0"/>
          <w:marBottom w:val="0"/>
          <w:divBdr>
            <w:top w:val="none" w:sz="0" w:space="0" w:color="auto"/>
            <w:left w:val="none" w:sz="0" w:space="0" w:color="auto"/>
            <w:bottom w:val="none" w:sz="0" w:space="0" w:color="auto"/>
            <w:right w:val="none" w:sz="0" w:space="0" w:color="auto"/>
          </w:divBdr>
        </w:div>
        <w:div w:id="919827299">
          <w:marLeft w:val="0"/>
          <w:marRight w:val="0"/>
          <w:marTop w:val="0"/>
          <w:marBottom w:val="0"/>
          <w:divBdr>
            <w:top w:val="none" w:sz="0" w:space="0" w:color="auto"/>
            <w:left w:val="none" w:sz="0" w:space="0" w:color="auto"/>
            <w:bottom w:val="none" w:sz="0" w:space="0" w:color="auto"/>
            <w:right w:val="none" w:sz="0" w:space="0" w:color="auto"/>
          </w:divBdr>
        </w:div>
        <w:div w:id="1354695638">
          <w:marLeft w:val="0"/>
          <w:marRight w:val="0"/>
          <w:marTop w:val="0"/>
          <w:marBottom w:val="0"/>
          <w:divBdr>
            <w:top w:val="none" w:sz="0" w:space="0" w:color="auto"/>
            <w:left w:val="none" w:sz="0" w:space="0" w:color="auto"/>
            <w:bottom w:val="none" w:sz="0" w:space="0" w:color="auto"/>
            <w:right w:val="none" w:sz="0" w:space="0" w:color="auto"/>
          </w:divBdr>
        </w:div>
      </w:divsChild>
    </w:div>
    <w:div w:id="147640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S-NORMANDIE-APPELPROJET-MEDSOC@ars.sant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Utilisateurs\duretjc\Desktop\htshgraph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a:t>Une place HTSH à 26 000€ (dotation soins)</a:t>
            </a:r>
          </a:p>
        </c:rich>
      </c:tx>
      <c:layout/>
      <c:overlay val="0"/>
    </c:title>
    <c:autoTitleDeleted val="0"/>
    <c:plotArea>
      <c:layout>
        <c:manualLayout>
          <c:layoutTarget val="inner"/>
          <c:xMode val="edge"/>
          <c:yMode val="edge"/>
          <c:x val="0.12839697121193183"/>
          <c:y val="0.1545307848664666"/>
          <c:w val="0.8539663444847172"/>
          <c:h val="0.55418467428413554"/>
        </c:manualLayout>
      </c:layout>
      <c:barChart>
        <c:barDir val="col"/>
        <c:grouping val="stacked"/>
        <c:varyColors val="0"/>
        <c:ser>
          <c:idx val="0"/>
          <c:order val="0"/>
          <c:tx>
            <c:strRef>
              <c:f>Feuil1!$A$3</c:f>
              <c:strCache>
                <c:ptCount val="1"/>
                <c:pt idx="0">
                  <c:v>Dotations soins place HT</c:v>
                </c:pt>
              </c:strCache>
            </c:strRef>
          </c:tx>
          <c:invertIfNegative val="0"/>
          <c:dLbls>
            <c:dLbl>
              <c:idx val="0"/>
              <c:layout/>
              <c:showLegendKey val="0"/>
              <c:showVal val="1"/>
              <c:showCatName val="0"/>
              <c:showSerName val="0"/>
              <c:showPercent val="0"/>
              <c:showBubbleSize val="0"/>
            </c:dLbl>
            <c:dLbl>
              <c:idx val="1"/>
              <c:layout/>
              <c:showLegendKey val="0"/>
              <c:showVal val="1"/>
              <c:showCatName val="0"/>
              <c:showSerName val="0"/>
              <c:showPercent val="0"/>
              <c:showBubbleSize val="0"/>
            </c:dLbl>
            <c:dLbl>
              <c:idx val="2"/>
              <c:showLegendKey val="0"/>
              <c:showVal val="1"/>
              <c:showCatName val="0"/>
              <c:showSerName val="0"/>
              <c:showPercent val="0"/>
              <c:showBubbleSize val="0"/>
            </c:dLbl>
            <c:txPr>
              <a:bodyPr/>
              <a:lstStyle/>
              <a:p>
                <a:pPr>
                  <a:defRPr b="1"/>
                </a:pPr>
                <a:endParaRPr lang="fr-FR"/>
              </a:p>
            </c:txPr>
            <c:showLegendKey val="0"/>
            <c:showVal val="0"/>
            <c:showCatName val="0"/>
            <c:showSerName val="0"/>
            <c:showPercent val="0"/>
            <c:showBubbleSize val="0"/>
          </c:dLbls>
          <c:cat>
            <c:strRef>
              <c:f>Feuil1!$B$2:$D$2</c:f>
              <c:strCache>
                <c:ptCount val="3"/>
                <c:pt idx="0">
                  <c:v>Scénario avec mesures nouvelles 100%
pour créer un place HTSH</c:v>
                </c:pt>
                <c:pt idx="1">
                  <c:v>Scénario mesures nouvelles + redéploiement d'une place d'HT pour créer un place HTSH</c:v>
                </c:pt>
                <c:pt idx="2">
                  <c:v>place HT supprimée</c:v>
                </c:pt>
              </c:strCache>
            </c:strRef>
          </c:cat>
          <c:val>
            <c:numRef>
              <c:f>Feuil1!$B$3:$D$3</c:f>
              <c:numCache>
                <c:formatCode>_-* #,##0\ "€"_-;\-* #,##0\ "€"_-;_-* "-"??\ "€"_-;_-@_-</c:formatCode>
                <c:ptCount val="3"/>
                <c:pt idx="0">
                  <c:v>11000</c:v>
                </c:pt>
                <c:pt idx="1">
                  <c:v>11000</c:v>
                </c:pt>
              </c:numCache>
            </c:numRef>
          </c:val>
        </c:ser>
        <c:ser>
          <c:idx val="1"/>
          <c:order val="1"/>
          <c:tx>
            <c:strRef>
              <c:f>Feuil1!$A$4</c:f>
              <c:strCache>
                <c:ptCount val="1"/>
                <c:pt idx="0">
                  <c:v>Enveloppe mesures nouvelles</c:v>
                </c:pt>
              </c:strCache>
            </c:strRef>
          </c:tx>
          <c:invertIfNegative val="0"/>
          <c:dLbls>
            <c:txPr>
              <a:bodyPr/>
              <a:lstStyle/>
              <a:p>
                <a:pPr>
                  <a:defRPr b="1"/>
                </a:pPr>
                <a:endParaRPr lang="fr-FR"/>
              </a:p>
            </c:txPr>
            <c:showLegendKey val="0"/>
            <c:showVal val="1"/>
            <c:showCatName val="0"/>
            <c:showSerName val="0"/>
            <c:showPercent val="0"/>
            <c:showBubbleSize val="0"/>
            <c:showLeaderLines val="0"/>
          </c:dLbls>
          <c:cat>
            <c:strRef>
              <c:f>Feuil1!$B$2:$D$2</c:f>
              <c:strCache>
                <c:ptCount val="3"/>
                <c:pt idx="0">
                  <c:v>Scénario avec mesures nouvelles 100%
pour créer un place HTSH</c:v>
                </c:pt>
                <c:pt idx="1">
                  <c:v>Scénario mesures nouvelles + redéploiement d'une place d'HT pour créer un place HTSH</c:v>
                </c:pt>
                <c:pt idx="2">
                  <c:v>place HT supprimée</c:v>
                </c:pt>
              </c:strCache>
            </c:strRef>
          </c:cat>
          <c:val>
            <c:numRef>
              <c:f>Feuil1!$B$4:$D$4</c:f>
              <c:numCache>
                <c:formatCode>_-* #,##0\ "€"_-;\-* #,##0\ "€"_-;_-* "-"??\ "€"_-;_-@_-</c:formatCode>
                <c:ptCount val="3"/>
                <c:pt idx="0">
                  <c:v>15000</c:v>
                </c:pt>
                <c:pt idx="1">
                  <c:v>4000</c:v>
                </c:pt>
              </c:numCache>
            </c:numRef>
          </c:val>
        </c:ser>
        <c:ser>
          <c:idx val="2"/>
          <c:order val="2"/>
          <c:tx>
            <c:strRef>
              <c:f>Feuil1!$A$5</c:f>
              <c:strCache>
                <c:ptCount val="1"/>
                <c:pt idx="0">
                  <c:v>Redéploiement place HT</c:v>
                </c:pt>
              </c:strCache>
            </c:strRef>
          </c:tx>
          <c:invertIfNegative val="0"/>
          <c:dLbls>
            <c:dLbl>
              <c:idx val="0"/>
              <c:delete val="1"/>
            </c:dLbl>
            <c:txPr>
              <a:bodyPr/>
              <a:lstStyle/>
              <a:p>
                <a:pPr>
                  <a:defRPr b="1"/>
                </a:pPr>
                <a:endParaRPr lang="fr-FR"/>
              </a:p>
            </c:txPr>
            <c:showLegendKey val="0"/>
            <c:showVal val="1"/>
            <c:showCatName val="0"/>
            <c:showSerName val="0"/>
            <c:showPercent val="0"/>
            <c:showBubbleSize val="0"/>
            <c:showLeaderLines val="0"/>
          </c:dLbls>
          <c:cat>
            <c:strRef>
              <c:f>Feuil1!$B$2:$D$2</c:f>
              <c:strCache>
                <c:ptCount val="3"/>
                <c:pt idx="0">
                  <c:v>Scénario avec mesures nouvelles 100%
pour créer un place HTSH</c:v>
                </c:pt>
                <c:pt idx="1">
                  <c:v>Scénario mesures nouvelles + redéploiement d'une place d'HT pour créer un place HTSH</c:v>
                </c:pt>
                <c:pt idx="2">
                  <c:v>place HT supprimée</c:v>
                </c:pt>
              </c:strCache>
            </c:strRef>
          </c:cat>
          <c:val>
            <c:numRef>
              <c:f>Feuil1!$B$5:$D$5</c:f>
              <c:numCache>
                <c:formatCode>_-* #,##0\ "€"_-;\-* #,##0\ "€"_-;_-* "-"??\ "€"_-;_-@_-</c:formatCode>
                <c:ptCount val="3"/>
                <c:pt idx="0">
                  <c:v>0</c:v>
                </c:pt>
                <c:pt idx="1">
                  <c:v>11000</c:v>
                </c:pt>
                <c:pt idx="2">
                  <c:v>11000</c:v>
                </c:pt>
              </c:numCache>
            </c:numRef>
          </c:val>
        </c:ser>
        <c:dLbls>
          <c:showLegendKey val="0"/>
          <c:showVal val="0"/>
          <c:showCatName val="0"/>
          <c:showSerName val="0"/>
          <c:showPercent val="0"/>
          <c:showBubbleSize val="0"/>
        </c:dLbls>
        <c:gapWidth val="75"/>
        <c:overlap val="100"/>
        <c:axId val="98444800"/>
        <c:axId val="121934208"/>
      </c:barChart>
      <c:catAx>
        <c:axId val="98444800"/>
        <c:scaling>
          <c:orientation val="minMax"/>
        </c:scaling>
        <c:delete val="0"/>
        <c:axPos val="b"/>
        <c:majorTickMark val="none"/>
        <c:minorTickMark val="none"/>
        <c:tickLblPos val="nextTo"/>
        <c:crossAx val="121934208"/>
        <c:crosses val="autoZero"/>
        <c:auto val="1"/>
        <c:lblAlgn val="ctr"/>
        <c:lblOffset val="100"/>
        <c:noMultiLvlLbl val="0"/>
      </c:catAx>
      <c:valAx>
        <c:axId val="121934208"/>
        <c:scaling>
          <c:orientation val="minMax"/>
        </c:scaling>
        <c:delete val="0"/>
        <c:axPos val="l"/>
        <c:majorGridlines/>
        <c:numFmt formatCode="_-* #,##0\ &quot;€&quot;_-;\-* #,##0\ &quot;€&quot;_-;_-* &quot;-&quot;??\ &quot;€&quot;_-;_-@_-" sourceLinked="1"/>
        <c:majorTickMark val="none"/>
        <c:minorTickMark val="none"/>
        <c:tickLblPos val="nextTo"/>
        <c:spPr>
          <a:ln w="9525">
            <a:noFill/>
          </a:ln>
        </c:spPr>
        <c:crossAx val="98444800"/>
        <c:crosses val="autoZero"/>
        <c:crossBetween val="between"/>
      </c:valAx>
    </c:plotArea>
    <c:legend>
      <c:legendPos val="b"/>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89129483814524"/>
          <c:y val="0.154811750226137"/>
          <c:w val="0.77433092738407694"/>
          <c:h val="0.41378471758826757"/>
        </c:manualLayout>
      </c:layout>
      <c:barChart>
        <c:barDir val="col"/>
        <c:grouping val="stacked"/>
        <c:varyColors val="0"/>
        <c:ser>
          <c:idx val="0"/>
          <c:order val="0"/>
          <c:tx>
            <c:strRef>
              <c:f>Feuil2!$A$2</c:f>
              <c:strCache>
                <c:ptCount val="1"/>
                <c:pt idx="0">
                  <c:v>Dotations soins place HT</c:v>
                </c:pt>
              </c:strCache>
            </c:strRef>
          </c:tx>
          <c:invertIfNegative val="0"/>
          <c:dLbls>
            <c:txPr>
              <a:bodyPr/>
              <a:lstStyle/>
              <a:p>
                <a:pPr>
                  <a:defRPr b="1"/>
                </a:pPr>
                <a:endParaRPr lang="fr-FR"/>
              </a:p>
            </c:txPr>
            <c:showLegendKey val="0"/>
            <c:showVal val="1"/>
            <c:showCatName val="0"/>
            <c:showSerName val="0"/>
            <c:showPercent val="0"/>
            <c:showBubbleSize val="0"/>
            <c:showLeaderLines val="0"/>
          </c:dLbls>
          <c:cat>
            <c:strRef>
              <c:f>Feuil2!$B$1:$D$1</c:f>
              <c:strCache>
                <c:ptCount val="3"/>
                <c:pt idx="0">
                  <c:v>Scénario avec mesures nouvelles 100%
pour créer un place HTSH</c:v>
                </c:pt>
                <c:pt idx="1">
                  <c:v>Scénario mesures nouvelles + redéploiement d'une place d'HP pour créer un place HTSH</c:v>
                </c:pt>
                <c:pt idx="2">
                  <c:v>place HP supprimée</c:v>
                </c:pt>
              </c:strCache>
            </c:strRef>
          </c:cat>
          <c:val>
            <c:numRef>
              <c:f>Feuil2!$B$2:$D$2</c:f>
              <c:numCache>
                <c:formatCode>_-* #,##0\ "€"_-;\-* #,##0\ "€"_-;_-* "-"??\ "€"_-;_-@_-</c:formatCode>
                <c:ptCount val="3"/>
                <c:pt idx="0">
                  <c:v>11000</c:v>
                </c:pt>
                <c:pt idx="1">
                  <c:v>11000</c:v>
                </c:pt>
              </c:numCache>
            </c:numRef>
          </c:val>
        </c:ser>
        <c:ser>
          <c:idx val="1"/>
          <c:order val="1"/>
          <c:tx>
            <c:strRef>
              <c:f>Feuil2!$A$3</c:f>
              <c:strCache>
                <c:ptCount val="1"/>
                <c:pt idx="0">
                  <c:v>Enveloppe mesures nouvelles</c:v>
                </c:pt>
              </c:strCache>
            </c:strRef>
          </c:tx>
          <c:invertIfNegative val="0"/>
          <c:dLbls>
            <c:dLbl>
              <c:idx val="1"/>
              <c:delete val="1"/>
            </c:dLbl>
            <c:txPr>
              <a:bodyPr/>
              <a:lstStyle/>
              <a:p>
                <a:pPr>
                  <a:defRPr b="1"/>
                </a:pPr>
                <a:endParaRPr lang="fr-FR"/>
              </a:p>
            </c:txPr>
            <c:showLegendKey val="0"/>
            <c:showVal val="1"/>
            <c:showCatName val="0"/>
            <c:showSerName val="0"/>
            <c:showPercent val="0"/>
            <c:showBubbleSize val="0"/>
            <c:showLeaderLines val="0"/>
          </c:dLbls>
          <c:cat>
            <c:strRef>
              <c:f>Feuil2!$B$1:$D$1</c:f>
              <c:strCache>
                <c:ptCount val="3"/>
                <c:pt idx="0">
                  <c:v>Scénario avec mesures nouvelles 100%
pour créer un place HTSH</c:v>
                </c:pt>
                <c:pt idx="1">
                  <c:v>Scénario mesures nouvelles + redéploiement d'une place d'HP pour créer un place HTSH</c:v>
                </c:pt>
                <c:pt idx="2">
                  <c:v>place HP supprimée</c:v>
                </c:pt>
              </c:strCache>
            </c:strRef>
          </c:cat>
          <c:val>
            <c:numRef>
              <c:f>Feuil2!$B$3:$D$3</c:f>
              <c:numCache>
                <c:formatCode>_-* #,##0\ "€"_-;\-* #,##0\ "€"_-;_-* "-"??\ "€"_-;_-@_-</c:formatCode>
                <c:ptCount val="3"/>
                <c:pt idx="0">
                  <c:v>15000</c:v>
                </c:pt>
                <c:pt idx="1">
                  <c:v>0</c:v>
                </c:pt>
              </c:numCache>
            </c:numRef>
          </c:val>
        </c:ser>
        <c:ser>
          <c:idx val="2"/>
          <c:order val="2"/>
          <c:tx>
            <c:strRef>
              <c:f>Feuil2!$A$4</c:f>
              <c:strCache>
                <c:ptCount val="1"/>
                <c:pt idx="0">
                  <c:v>Redéploiement place HP</c:v>
                </c:pt>
              </c:strCache>
            </c:strRef>
          </c:tx>
          <c:invertIfNegative val="0"/>
          <c:dLbls>
            <c:dLbl>
              <c:idx val="0"/>
              <c:delete val="1"/>
            </c:dLbl>
            <c:txPr>
              <a:bodyPr/>
              <a:lstStyle/>
              <a:p>
                <a:pPr>
                  <a:defRPr b="1"/>
                </a:pPr>
                <a:endParaRPr lang="fr-FR"/>
              </a:p>
            </c:txPr>
            <c:showLegendKey val="0"/>
            <c:showVal val="1"/>
            <c:showCatName val="0"/>
            <c:showSerName val="0"/>
            <c:showPercent val="0"/>
            <c:showBubbleSize val="0"/>
            <c:showLeaderLines val="0"/>
          </c:dLbls>
          <c:cat>
            <c:strRef>
              <c:f>Feuil2!$B$1:$D$1</c:f>
              <c:strCache>
                <c:ptCount val="3"/>
                <c:pt idx="0">
                  <c:v>Scénario avec mesures nouvelles 100%
pour créer un place HTSH</c:v>
                </c:pt>
                <c:pt idx="1">
                  <c:v>Scénario mesures nouvelles + redéploiement d'une place d'HP pour créer un place HTSH</c:v>
                </c:pt>
                <c:pt idx="2">
                  <c:v>place HP supprimée</c:v>
                </c:pt>
              </c:strCache>
            </c:strRef>
          </c:cat>
          <c:val>
            <c:numRef>
              <c:f>Feuil2!$B$4:$D$4</c:f>
              <c:numCache>
                <c:formatCode>_-* #,##0\ "€"_-;\-* #,##0\ "€"_-;_-* "-"??\ "€"_-;_-@_-</c:formatCode>
                <c:ptCount val="3"/>
                <c:pt idx="0">
                  <c:v>0</c:v>
                </c:pt>
                <c:pt idx="1">
                  <c:v>15000</c:v>
                </c:pt>
                <c:pt idx="2">
                  <c:v>15000</c:v>
                </c:pt>
              </c:numCache>
            </c:numRef>
          </c:val>
        </c:ser>
        <c:dLbls>
          <c:showLegendKey val="0"/>
          <c:showVal val="1"/>
          <c:showCatName val="0"/>
          <c:showSerName val="0"/>
          <c:showPercent val="0"/>
          <c:showBubbleSize val="0"/>
        </c:dLbls>
        <c:gapWidth val="75"/>
        <c:overlap val="100"/>
        <c:axId val="46255104"/>
        <c:axId val="46301952"/>
      </c:barChart>
      <c:catAx>
        <c:axId val="46255104"/>
        <c:scaling>
          <c:orientation val="minMax"/>
        </c:scaling>
        <c:delete val="0"/>
        <c:axPos val="b"/>
        <c:majorTickMark val="none"/>
        <c:minorTickMark val="none"/>
        <c:tickLblPos val="nextTo"/>
        <c:crossAx val="46301952"/>
        <c:crosses val="autoZero"/>
        <c:auto val="1"/>
        <c:lblAlgn val="ctr"/>
        <c:lblOffset val="100"/>
        <c:noMultiLvlLbl val="0"/>
      </c:catAx>
      <c:valAx>
        <c:axId val="46301952"/>
        <c:scaling>
          <c:orientation val="minMax"/>
        </c:scaling>
        <c:delete val="0"/>
        <c:axPos val="l"/>
        <c:majorGridlines/>
        <c:numFmt formatCode="_-* #,##0\ &quot;€&quot;_-;\-* #,##0\ &quot;€&quot;_-;_-* &quot;-&quot;??\ &quot;€&quot;_-;_-@_-" sourceLinked="1"/>
        <c:majorTickMark val="none"/>
        <c:minorTickMark val="none"/>
        <c:tickLblPos val="nextTo"/>
        <c:crossAx val="46255104"/>
        <c:crosses val="autoZero"/>
        <c:crossBetween val="between"/>
      </c:valAx>
    </c:plotArea>
    <c:legend>
      <c:legendPos val="b"/>
      <c:layout/>
      <c:overlay val="0"/>
    </c:legend>
    <c:plotVisOnly val="1"/>
    <c:dispBlanksAs val="gap"/>
    <c:showDLblsOverMax val="0"/>
  </c:chart>
  <c:txPr>
    <a:bodyPr/>
    <a:lstStyle/>
    <a:p>
      <a:pPr>
        <a:defRPr baseline="0"/>
      </a:pPr>
      <a:endParaRPr lang="fr-F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0.63051</cdr:x>
      <cdr:y>0.32389</cdr:y>
    </cdr:from>
    <cdr:to>
      <cdr:x>0.82562</cdr:x>
      <cdr:y>0.51089</cdr:y>
    </cdr:to>
    <cdr:cxnSp macro="">
      <cdr:nvCxnSpPr>
        <cdr:cNvPr id="3" name="Connecteur droit avec flèche 2"/>
        <cdr:cNvCxnSpPr/>
      </cdr:nvCxnSpPr>
      <cdr:spPr>
        <a:xfrm xmlns:a="http://schemas.openxmlformats.org/drawingml/2006/main" flipH="1" flipV="1">
          <a:off x="3632200" y="1066800"/>
          <a:ext cx="1123950" cy="6159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0.33667</cdr:x>
      <cdr:y>0.02486</cdr:y>
    </cdr:from>
    <cdr:to>
      <cdr:x>0.84833</cdr:x>
      <cdr:y>0.08588</cdr:y>
    </cdr:to>
    <cdr:sp macro="" textlink="">
      <cdr:nvSpPr>
        <cdr:cNvPr id="3" name="ZoneTexte 2"/>
        <cdr:cNvSpPr txBox="1"/>
      </cdr:nvSpPr>
      <cdr:spPr>
        <a:xfrm xmlns:a="http://schemas.openxmlformats.org/drawingml/2006/main">
          <a:off x="1539240" y="83820"/>
          <a:ext cx="2339340" cy="2057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0.16</cdr:x>
      <cdr:y>0.0339</cdr:y>
    </cdr:from>
    <cdr:to>
      <cdr:x>0.99333</cdr:x>
      <cdr:y>0.11525</cdr:y>
    </cdr:to>
    <cdr:sp macro="" textlink="">
      <cdr:nvSpPr>
        <cdr:cNvPr id="4" name="ZoneTexte 3"/>
        <cdr:cNvSpPr txBox="1"/>
      </cdr:nvSpPr>
      <cdr:spPr>
        <a:xfrm xmlns:a="http://schemas.openxmlformats.org/drawingml/2006/main">
          <a:off x="731520" y="114300"/>
          <a:ext cx="3810000" cy="2743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600" b="1"/>
            <a:t>Une place HTSH à 26000€ (dotation soins)</a:t>
          </a:r>
        </a:p>
      </cdr:txBody>
    </cdr:sp>
  </cdr:relSizeAnchor>
  <cdr:relSizeAnchor xmlns:cdr="http://schemas.openxmlformats.org/drawingml/2006/chartDrawing">
    <cdr:from>
      <cdr:x>0.65188</cdr:x>
      <cdr:y>0.27495</cdr:y>
    </cdr:from>
    <cdr:to>
      <cdr:x>0.86585</cdr:x>
      <cdr:y>0.3597</cdr:y>
    </cdr:to>
    <cdr:cxnSp macro="">
      <cdr:nvCxnSpPr>
        <cdr:cNvPr id="2" name="Connecteur droit avec flèche 1"/>
        <cdr:cNvCxnSpPr/>
      </cdr:nvCxnSpPr>
      <cdr:spPr>
        <a:xfrm xmlns:a="http://schemas.openxmlformats.org/drawingml/2006/main" flipH="1" flipV="1">
          <a:off x="3733800" y="927100"/>
          <a:ext cx="1225550" cy="2857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AF6E0-1C35-451D-93FF-45A70C06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1416</Words>
  <Characters>7794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GARCES Carole</cp:lastModifiedBy>
  <cp:revision>8</cp:revision>
  <cp:lastPrinted>2019-08-02T14:01:00Z</cp:lastPrinted>
  <dcterms:created xsi:type="dcterms:W3CDTF">2019-07-22T13:01:00Z</dcterms:created>
  <dcterms:modified xsi:type="dcterms:W3CDTF">2019-08-02T14:04:00Z</dcterms:modified>
</cp:coreProperties>
</file>