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17" w:rsidRDefault="00D93C17" w:rsidP="00D93C17">
      <w:pPr>
        <w:shd w:val="clear" w:color="auto" w:fill="000080"/>
        <w:autoSpaceDE w:val="0"/>
        <w:autoSpaceDN w:val="0"/>
        <w:adjustRightInd w:val="0"/>
        <w:rPr>
          <w:rFonts w:ascii="Arial" w:hAnsi="Arial" w:cs="Arial"/>
          <w:b/>
          <w:sz w:val="22"/>
          <w:szCs w:val="22"/>
        </w:rPr>
      </w:pPr>
    </w:p>
    <w:p w:rsidR="00D93C17" w:rsidRDefault="00D93C17" w:rsidP="00D93C17">
      <w:pPr>
        <w:shd w:val="clear" w:color="auto" w:fill="000080"/>
        <w:autoSpaceDE w:val="0"/>
        <w:autoSpaceDN w:val="0"/>
        <w:adjustRightInd w:val="0"/>
        <w:jc w:val="center"/>
        <w:rPr>
          <w:rFonts w:ascii="Arial" w:hAnsi="Arial" w:cs="Arial"/>
          <w:b/>
          <w:sz w:val="22"/>
          <w:szCs w:val="22"/>
        </w:rPr>
      </w:pPr>
      <w:r>
        <w:rPr>
          <w:rFonts w:ascii="Arial" w:hAnsi="Arial" w:cs="Arial"/>
          <w:b/>
          <w:sz w:val="22"/>
          <w:szCs w:val="22"/>
        </w:rPr>
        <w:t xml:space="preserve">ATTESTATION SUR L’HONNEUR DE CONFORMITÉ AUX EXIGENCES PRÉVUES </w:t>
      </w:r>
    </w:p>
    <w:p w:rsidR="00D93C17" w:rsidRDefault="00D93C17" w:rsidP="00D93C17">
      <w:pPr>
        <w:shd w:val="clear" w:color="auto" w:fill="000080"/>
        <w:autoSpaceDE w:val="0"/>
        <w:autoSpaceDN w:val="0"/>
        <w:adjustRightInd w:val="0"/>
        <w:jc w:val="center"/>
        <w:rPr>
          <w:rFonts w:ascii="Arial" w:hAnsi="Arial" w:cs="Arial"/>
          <w:b/>
          <w:sz w:val="22"/>
          <w:szCs w:val="22"/>
        </w:rPr>
      </w:pPr>
      <w:r>
        <w:rPr>
          <w:rFonts w:ascii="Arial" w:hAnsi="Arial" w:cs="Arial"/>
          <w:b/>
          <w:sz w:val="22"/>
          <w:szCs w:val="22"/>
        </w:rPr>
        <w:t>AUX ARTICLES R.1161-5 ET R.1161-3 DU CODE DE LA SANTÉ PUBLIQUE</w:t>
      </w:r>
    </w:p>
    <w:p w:rsidR="00D93C17" w:rsidRDefault="00D93C17" w:rsidP="00D93C17">
      <w:pPr>
        <w:shd w:val="clear" w:color="auto" w:fill="000080"/>
        <w:autoSpaceDE w:val="0"/>
        <w:autoSpaceDN w:val="0"/>
        <w:adjustRightInd w:val="0"/>
        <w:rPr>
          <w:rFonts w:ascii="Arial" w:hAnsi="Arial" w:cs="Arial"/>
          <w:b/>
          <w:sz w:val="22"/>
          <w:szCs w:val="22"/>
        </w:rPr>
      </w:pPr>
    </w:p>
    <w:p w:rsidR="00D93C17" w:rsidRPr="00331A56" w:rsidRDefault="00D93C17" w:rsidP="00D93C17">
      <w:pPr>
        <w:ind w:left="420"/>
        <w:jc w:val="both"/>
        <w:rPr>
          <w:rFonts w:ascii="Arial" w:hAnsi="Arial" w:cs="Arial"/>
          <w:bCs/>
          <w:iCs/>
          <w:sz w:val="22"/>
          <w:szCs w:val="22"/>
        </w:rPr>
      </w:pPr>
    </w:p>
    <w:p w:rsidR="00D93C17" w:rsidRDefault="00D93C17" w:rsidP="00D93C17">
      <w:pPr>
        <w:jc w:val="both"/>
        <w:rPr>
          <w:rFonts w:ascii="Arial" w:hAnsi="Arial" w:cs="Arial"/>
          <w:sz w:val="22"/>
          <w:szCs w:val="22"/>
        </w:rPr>
      </w:pPr>
    </w:p>
    <w:p w:rsidR="00D93C17" w:rsidRPr="00CD1C20" w:rsidRDefault="00D93C17" w:rsidP="00D93C17">
      <w:pPr>
        <w:jc w:val="both"/>
        <w:rPr>
          <w:rFonts w:ascii="Arial" w:hAnsi="Arial" w:cs="Arial"/>
          <w:sz w:val="22"/>
          <w:szCs w:val="22"/>
        </w:rPr>
      </w:pPr>
      <w:r w:rsidRPr="00CD1C20">
        <w:rPr>
          <w:rFonts w:ascii="Arial" w:hAnsi="Arial" w:cs="Arial"/>
          <w:sz w:val="22"/>
          <w:szCs w:val="22"/>
        </w:rPr>
        <w:t>Nom du coordonnateur :</w:t>
      </w:r>
      <w:r>
        <w:rPr>
          <w:rFonts w:ascii="Arial" w:hAnsi="Arial" w:cs="Arial"/>
          <w:sz w:val="22"/>
          <w:szCs w:val="22"/>
        </w:rPr>
        <w:t xml:space="preserve"> _______________________________________________________</w:t>
      </w:r>
    </w:p>
    <w:p w:rsidR="00D93C17" w:rsidRDefault="00D93C17" w:rsidP="00D93C17">
      <w:pPr>
        <w:jc w:val="both"/>
        <w:rPr>
          <w:rFonts w:ascii="Arial" w:hAnsi="Arial" w:cs="Arial"/>
          <w:sz w:val="22"/>
          <w:szCs w:val="22"/>
        </w:rPr>
      </w:pPr>
    </w:p>
    <w:p w:rsidR="00D93C17" w:rsidRPr="00CD1C20" w:rsidRDefault="00D93C17" w:rsidP="00D93C17">
      <w:pPr>
        <w:jc w:val="both"/>
        <w:rPr>
          <w:rFonts w:ascii="Arial" w:hAnsi="Arial" w:cs="Arial"/>
          <w:sz w:val="22"/>
          <w:szCs w:val="22"/>
        </w:rPr>
      </w:pPr>
      <w:r w:rsidRPr="00CD1C20">
        <w:rPr>
          <w:rFonts w:ascii="Arial" w:hAnsi="Arial" w:cs="Arial"/>
          <w:sz w:val="22"/>
          <w:szCs w:val="22"/>
        </w:rPr>
        <w:t xml:space="preserve">Intitulé du programme </w:t>
      </w:r>
      <w:proofErr w:type="gramStart"/>
      <w:r w:rsidRPr="00CD1C20">
        <w:rPr>
          <w:rFonts w:ascii="Arial" w:hAnsi="Arial" w:cs="Arial"/>
          <w:sz w:val="22"/>
          <w:szCs w:val="22"/>
        </w:rPr>
        <w:t>:</w:t>
      </w:r>
      <w:r>
        <w:rPr>
          <w:rFonts w:ascii="Arial" w:hAnsi="Arial" w:cs="Arial"/>
          <w:sz w:val="22"/>
          <w:szCs w:val="22"/>
        </w:rPr>
        <w:t>_</w:t>
      </w:r>
      <w:proofErr w:type="gramEnd"/>
      <w:r>
        <w:rPr>
          <w:rFonts w:ascii="Arial" w:hAnsi="Arial" w:cs="Arial"/>
          <w:sz w:val="22"/>
          <w:szCs w:val="22"/>
        </w:rPr>
        <w:t>_______________________________________________________</w:t>
      </w:r>
    </w:p>
    <w:p w:rsidR="00D93C17" w:rsidRDefault="00D93C17" w:rsidP="00D93C17">
      <w:pPr>
        <w:jc w:val="both"/>
        <w:rPr>
          <w:rFonts w:ascii="Arial" w:hAnsi="Arial" w:cs="Arial"/>
          <w:sz w:val="22"/>
          <w:szCs w:val="22"/>
        </w:rPr>
      </w:pPr>
    </w:p>
    <w:p w:rsidR="00D93C17" w:rsidRDefault="00D93C17" w:rsidP="00D93C17">
      <w:pPr>
        <w:jc w:val="both"/>
        <w:rPr>
          <w:rFonts w:ascii="Arial" w:hAnsi="Arial" w:cs="Arial"/>
          <w:sz w:val="22"/>
          <w:szCs w:val="22"/>
        </w:rPr>
      </w:pPr>
      <w:r>
        <w:rPr>
          <w:rFonts w:ascii="Arial" w:hAnsi="Arial" w:cs="Arial"/>
          <w:sz w:val="22"/>
          <w:szCs w:val="22"/>
        </w:rPr>
        <w:t>___________________________________________________________________________</w:t>
      </w:r>
    </w:p>
    <w:p w:rsidR="00D93C17" w:rsidRDefault="00D93C17" w:rsidP="00D93C17">
      <w:pPr>
        <w:jc w:val="both"/>
        <w:rPr>
          <w:rFonts w:ascii="Arial" w:hAnsi="Arial" w:cs="Arial"/>
          <w:sz w:val="22"/>
          <w:szCs w:val="22"/>
        </w:rPr>
      </w:pPr>
    </w:p>
    <w:p w:rsidR="00D93C17" w:rsidRDefault="00D93C17" w:rsidP="00D93C17">
      <w:pPr>
        <w:jc w:val="both"/>
        <w:rPr>
          <w:rFonts w:ascii="Arial" w:hAnsi="Arial" w:cs="Arial"/>
          <w:sz w:val="22"/>
          <w:szCs w:val="22"/>
        </w:rPr>
      </w:pPr>
    </w:p>
    <w:p w:rsidR="00D93C17" w:rsidRDefault="00D93C17" w:rsidP="00D93C17">
      <w:pPr>
        <w:jc w:val="both"/>
        <w:rPr>
          <w:rFonts w:ascii="Arial" w:hAnsi="Arial" w:cs="Arial"/>
          <w:sz w:val="22"/>
          <w:szCs w:val="22"/>
        </w:rPr>
      </w:pPr>
      <w:r w:rsidRPr="00CD1C20">
        <w:rPr>
          <w:rFonts w:ascii="Arial" w:hAnsi="Arial" w:cs="Arial"/>
          <w:sz w:val="22"/>
          <w:szCs w:val="22"/>
        </w:rPr>
        <w:t>Je soussigné</w:t>
      </w:r>
      <w:r>
        <w:rPr>
          <w:rFonts w:ascii="Arial" w:hAnsi="Arial" w:cs="Arial"/>
          <w:sz w:val="22"/>
          <w:szCs w:val="22"/>
        </w:rPr>
        <w:t>(e)</w:t>
      </w:r>
      <w:r w:rsidRPr="00CD1C20">
        <w:rPr>
          <w:rFonts w:ascii="Arial" w:hAnsi="Arial" w:cs="Arial"/>
          <w:sz w:val="22"/>
          <w:szCs w:val="22"/>
        </w:rPr>
        <w:t>, ..................................................................................</w:t>
      </w:r>
      <w:r>
        <w:rPr>
          <w:rFonts w:ascii="Arial" w:hAnsi="Arial" w:cs="Arial"/>
          <w:sz w:val="22"/>
          <w:szCs w:val="22"/>
        </w:rPr>
        <w:t>....</w:t>
      </w:r>
      <w:r w:rsidRPr="00CD1C20">
        <w:rPr>
          <w:rFonts w:ascii="Arial" w:hAnsi="Arial" w:cs="Arial"/>
          <w:sz w:val="22"/>
          <w:szCs w:val="22"/>
        </w:rPr>
        <w:t>atteste sur l’honneur que :</w:t>
      </w:r>
    </w:p>
    <w:p w:rsidR="00D93C17" w:rsidRPr="00CD1C20" w:rsidRDefault="00D93C17" w:rsidP="00D93C17">
      <w:pPr>
        <w:jc w:val="both"/>
        <w:rPr>
          <w:rFonts w:ascii="Arial" w:hAnsi="Arial" w:cs="Arial"/>
          <w:sz w:val="22"/>
          <w:szCs w:val="22"/>
        </w:rPr>
      </w:pPr>
    </w:p>
    <w:p w:rsidR="00D93C17" w:rsidRPr="00FC2821" w:rsidRDefault="00D93C17" w:rsidP="00D93C17">
      <w:pPr>
        <w:pStyle w:val="Paragraphedeliste"/>
        <w:numPr>
          <w:ilvl w:val="0"/>
          <w:numId w:val="2"/>
        </w:numPr>
        <w:jc w:val="both"/>
        <w:rPr>
          <w:rFonts w:ascii="Arial" w:hAnsi="Arial" w:cs="Arial"/>
        </w:rPr>
      </w:pPr>
      <w:r w:rsidRPr="00FC2821">
        <w:rPr>
          <w:rFonts w:ascii="Arial" w:hAnsi="Arial" w:cs="Arial"/>
          <w:u w:val="single"/>
        </w:rPr>
        <w:t>Le programme est conforme aux exigences prévues à l’article R. 1161-5 du code de la santé publique</w:t>
      </w:r>
      <w:r w:rsidRPr="00FC2821">
        <w:rPr>
          <w:rFonts w:ascii="Arial" w:hAnsi="Arial" w:cs="Arial"/>
        </w:rPr>
        <w:t xml:space="preserve"> :</w:t>
      </w:r>
    </w:p>
    <w:p w:rsidR="00D93C17" w:rsidRPr="00FC2821" w:rsidRDefault="00D93C17" w:rsidP="00D93C17">
      <w:pPr>
        <w:pStyle w:val="Paragraphedeliste"/>
        <w:jc w:val="both"/>
        <w:rPr>
          <w:rFonts w:ascii="Arial" w:hAnsi="Arial" w:cs="Arial"/>
        </w:rPr>
      </w:pPr>
    </w:p>
    <w:p w:rsidR="00D93C17" w:rsidRDefault="00D93C17" w:rsidP="00D93C17">
      <w:pPr>
        <w:ind w:left="1134" w:hanging="423"/>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CD1C20">
        <w:rPr>
          <w:rFonts w:ascii="Arial" w:hAnsi="Arial" w:cs="Arial"/>
          <w:sz w:val="22"/>
          <w:szCs w:val="22"/>
        </w:rPr>
        <w:t>Le programme est conforme au cahier des charges mentionné à l’article L. 1161-2 du code de la santé</w:t>
      </w:r>
      <w:r>
        <w:rPr>
          <w:rFonts w:ascii="Arial" w:hAnsi="Arial" w:cs="Arial"/>
          <w:sz w:val="22"/>
          <w:szCs w:val="22"/>
        </w:rPr>
        <w:t xml:space="preserve"> </w:t>
      </w:r>
      <w:r w:rsidRPr="00CD1C20">
        <w:rPr>
          <w:rFonts w:ascii="Arial" w:hAnsi="Arial" w:cs="Arial"/>
          <w:sz w:val="22"/>
          <w:szCs w:val="22"/>
        </w:rPr>
        <w:t>publique.</w:t>
      </w:r>
    </w:p>
    <w:p w:rsidR="00D93C17" w:rsidRPr="00CD1C20" w:rsidRDefault="00D93C17" w:rsidP="00D93C17">
      <w:pPr>
        <w:ind w:left="708"/>
        <w:jc w:val="both"/>
        <w:rPr>
          <w:rFonts w:ascii="Arial" w:hAnsi="Arial" w:cs="Arial"/>
          <w:sz w:val="22"/>
          <w:szCs w:val="22"/>
        </w:rPr>
      </w:pPr>
    </w:p>
    <w:p w:rsidR="00D93C17" w:rsidRDefault="00D93C17" w:rsidP="00D93C17">
      <w:pPr>
        <w:ind w:left="1066" w:hanging="358"/>
        <w:jc w:val="both"/>
        <w:rPr>
          <w:rFonts w:ascii="Arial" w:hAnsi="Arial" w:cs="Arial"/>
          <w:sz w:val="22"/>
          <w:szCs w:val="22"/>
        </w:rPr>
      </w:pPr>
      <w:r>
        <w:rPr>
          <w:rFonts w:ascii="Arial" w:hAnsi="Arial" w:cs="Arial"/>
          <w:sz w:val="22"/>
          <w:szCs w:val="22"/>
        </w:rPr>
        <w:t>2°</w:t>
      </w:r>
      <w:r w:rsidRPr="00CD1C20">
        <w:rPr>
          <w:rFonts w:ascii="Arial" w:hAnsi="Arial" w:cs="Arial"/>
          <w:sz w:val="22"/>
          <w:szCs w:val="22"/>
        </w:rPr>
        <w:t xml:space="preserve"> </w:t>
      </w:r>
      <w:r>
        <w:rPr>
          <w:rFonts w:ascii="Arial" w:hAnsi="Arial" w:cs="Arial"/>
          <w:sz w:val="22"/>
          <w:szCs w:val="22"/>
        </w:rPr>
        <w:tab/>
      </w:r>
      <w:r w:rsidRPr="00CD1C20">
        <w:rPr>
          <w:rFonts w:ascii="Arial" w:hAnsi="Arial" w:cs="Arial"/>
          <w:sz w:val="22"/>
          <w:szCs w:val="22"/>
        </w:rPr>
        <w:t>Les obligations mentionnées aux articles L. 1161-1 et L. 1161-4 du code de la santé publique relatives aux</w:t>
      </w:r>
      <w:r>
        <w:rPr>
          <w:rFonts w:ascii="Arial" w:hAnsi="Arial" w:cs="Arial"/>
          <w:sz w:val="22"/>
          <w:szCs w:val="22"/>
        </w:rPr>
        <w:t xml:space="preserve"> </w:t>
      </w:r>
      <w:r w:rsidRPr="00CD1C20">
        <w:rPr>
          <w:rFonts w:ascii="Arial" w:hAnsi="Arial" w:cs="Arial"/>
          <w:sz w:val="22"/>
          <w:szCs w:val="22"/>
        </w:rPr>
        <w:t>incompatibilités et interdictions pour l’élaboration des programmes et leur mise en œuvre sont respectées :</w:t>
      </w:r>
    </w:p>
    <w:p w:rsidR="00D93C17" w:rsidRPr="00CD1C20" w:rsidRDefault="00D93C17" w:rsidP="00D93C17">
      <w:pPr>
        <w:ind w:left="708"/>
        <w:jc w:val="both"/>
        <w:rPr>
          <w:rFonts w:ascii="Arial" w:hAnsi="Arial" w:cs="Arial"/>
          <w:sz w:val="22"/>
          <w:szCs w:val="22"/>
        </w:rPr>
      </w:pPr>
    </w:p>
    <w:p w:rsidR="00D93C17" w:rsidRDefault="00D93C17" w:rsidP="00D93C17">
      <w:pPr>
        <w:pStyle w:val="Paragraphedeliste"/>
        <w:numPr>
          <w:ilvl w:val="0"/>
          <w:numId w:val="1"/>
        </w:numPr>
        <w:ind w:left="1423" w:hanging="357"/>
        <w:jc w:val="both"/>
        <w:rPr>
          <w:rFonts w:ascii="Arial" w:hAnsi="Arial" w:cs="Arial"/>
        </w:rPr>
      </w:pPr>
      <w:r w:rsidRPr="009A72CB">
        <w:rPr>
          <w:rFonts w:ascii="Arial" w:hAnsi="Arial" w:cs="Arial"/>
        </w:rPr>
        <w:t xml:space="preserve">Article L. 1161-1 du code de la santé publique : </w:t>
      </w:r>
      <w:r>
        <w:rPr>
          <w:rFonts w:ascii="Arial" w:hAnsi="Arial" w:cs="Arial"/>
        </w:rPr>
        <w:t>« </w:t>
      </w:r>
      <w:r w:rsidRPr="009A72CB">
        <w:rPr>
          <w:rFonts w:ascii="Arial" w:hAnsi="Arial" w:cs="Arial"/>
        </w:rPr>
        <w:t xml:space="preserve">L’éducation thérapeutique s’inscrit dans le parcours de soins du patient. Elle a pour objectif de rendre le patient plus autonome en facilitant son adhésion aux traitements prescrits et en améliorant sa qualité de vie. Elle n’est pas opposable au malade et ne peut conditionner le taux de remboursement </w:t>
      </w:r>
      <w:r>
        <w:rPr>
          <w:rFonts w:ascii="Arial" w:hAnsi="Arial" w:cs="Arial"/>
        </w:rPr>
        <w:t>de ses actes et des médicaments</w:t>
      </w:r>
    </w:p>
    <w:p w:rsidR="00D93C17" w:rsidRDefault="00D93C17" w:rsidP="00D93C17">
      <w:pPr>
        <w:pStyle w:val="Paragraphedeliste"/>
        <w:spacing w:line="240" w:lineRule="auto"/>
        <w:ind w:left="1429"/>
        <w:jc w:val="both"/>
        <w:rPr>
          <w:rFonts w:ascii="Arial" w:hAnsi="Arial" w:cs="Arial"/>
        </w:rPr>
      </w:pPr>
      <w:proofErr w:type="gramStart"/>
      <w:r w:rsidRPr="009A72CB">
        <w:rPr>
          <w:rFonts w:ascii="Arial" w:hAnsi="Arial" w:cs="Arial"/>
        </w:rPr>
        <w:t>afférents</w:t>
      </w:r>
      <w:proofErr w:type="gramEnd"/>
      <w:r w:rsidRPr="009A72CB">
        <w:rPr>
          <w:rFonts w:ascii="Arial" w:hAnsi="Arial" w:cs="Arial"/>
        </w:rPr>
        <w:t xml:space="preserve"> à sa maladie.</w:t>
      </w:r>
    </w:p>
    <w:p w:rsidR="00D93C17" w:rsidRDefault="00D93C17" w:rsidP="00D93C17">
      <w:pPr>
        <w:pStyle w:val="Paragraphedeliste"/>
        <w:spacing w:line="240" w:lineRule="auto"/>
        <w:ind w:left="1429"/>
        <w:jc w:val="both"/>
        <w:rPr>
          <w:rFonts w:ascii="Arial" w:hAnsi="Arial" w:cs="Arial"/>
        </w:rPr>
      </w:pPr>
      <w:r>
        <w:rPr>
          <w:rFonts w:ascii="Arial" w:hAnsi="Arial" w:cs="Arial"/>
        </w:rPr>
        <w:t>Les compétences nécessaires pour dispenser l’éducation thérapeutique du patient sont déterminées par décret.</w:t>
      </w:r>
    </w:p>
    <w:p w:rsidR="00D93C17" w:rsidRPr="00FC2821" w:rsidRDefault="00D93C17" w:rsidP="00D93C17">
      <w:pPr>
        <w:pStyle w:val="Paragraphedeliste"/>
        <w:spacing w:line="240" w:lineRule="auto"/>
        <w:ind w:left="1429"/>
        <w:jc w:val="both"/>
        <w:rPr>
          <w:rFonts w:ascii="Arial" w:hAnsi="Arial" w:cs="Arial"/>
        </w:rPr>
      </w:pPr>
      <w:r>
        <w:rPr>
          <w:rFonts w:ascii="Arial" w:hAnsi="Arial" w:cs="Arial"/>
        </w:rPr>
        <w:t>Dans le cadre des programmes ou actions définis aux articles L. 1161-2 et L.1161-3, tout contact direct entre un malade et son entourage et une entreprise se livrant à l’exploitation d’un médicament ou une personne responsable de la mise sur le marché d’un dispositif médical ou d’un dispositif médical de diagnostic in vitro est interdit ».</w:t>
      </w:r>
    </w:p>
    <w:p w:rsidR="00D93C17" w:rsidRPr="00CD1C20" w:rsidRDefault="00D93C17" w:rsidP="00D93C17">
      <w:pPr>
        <w:ind w:left="1416"/>
        <w:jc w:val="both"/>
        <w:rPr>
          <w:rFonts w:ascii="Arial" w:hAnsi="Arial" w:cs="Arial"/>
          <w:sz w:val="22"/>
          <w:szCs w:val="22"/>
        </w:rPr>
      </w:pPr>
    </w:p>
    <w:p w:rsidR="00D93C17" w:rsidRPr="009A72CB" w:rsidRDefault="00D93C17" w:rsidP="00D93C17">
      <w:pPr>
        <w:pStyle w:val="Paragraphedeliste"/>
        <w:numPr>
          <w:ilvl w:val="0"/>
          <w:numId w:val="1"/>
        </w:numPr>
        <w:jc w:val="both"/>
        <w:rPr>
          <w:rFonts w:ascii="Arial" w:hAnsi="Arial" w:cs="Arial"/>
        </w:rPr>
      </w:pPr>
      <w:r w:rsidRPr="009A72CB">
        <w:rPr>
          <w:rFonts w:ascii="Arial" w:hAnsi="Arial" w:cs="Arial"/>
        </w:rPr>
        <w:t>Article L. 1161-4 d</w:t>
      </w:r>
      <w:r>
        <w:rPr>
          <w:rFonts w:ascii="Arial" w:hAnsi="Arial" w:cs="Arial"/>
        </w:rPr>
        <w:t>u code de la santé publique : « </w:t>
      </w:r>
      <w:r w:rsidRPr="009A72CB">
        <w:rPr>
          <w:rFonts w:ascii="Arial" w:hAnsi="Arial" w:cs="Arial"/>
        </w:rPr>
        <w:t xml:space="preserve">Les programmes ou actions définis aux articles L. 1161-2 et L. 1161-3 ne peuvent être ni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Toutefois, ces entreprises et ces personnes peuvent prendre part aux actions ou programmes mentionnés aux articles L. 1161-2 et L. 1161-3, notamment pour leur financement, dès </w:t>
      </w:r>
      <w:r w:rsidRPr="009A72CB">
        <w:rPr>
          <w:rFonts w:ascii="Arial" w:hAnsi="Arial" w:cs="Arial"/>
        </w:rPr>
        <w:lastRenderedPageBreak/>
        <w:t>lors que des</w:t>
      </w:r>
      <w:r>
        <w:rPr>
          <w:rFonts w:ascii="Arial" w:hAnsi="Arial" w:cs="Arial"/>
        </w:rPr>
        <w:t xml:space="preserve"> p</w:t>
      </w:r>
      <w:r w:rsidRPr="009A72CB">
        <w:rPr>
          <w:rFonts w:ascii="Arial" w:hAnsi="Arial" w:cs="Arial"/>
        </w:rPr>
        <w:t>rofessionnels de santé et des associations mentionnées à l’article L. 1114-1 élaborent et mettent en œuvre c</w:t>
      </w:r>
      <w:r>
        <w:rPr>
          <w:rFonts w:ascii="Arial" w:hAnsi="Arial" w:cs="Arial"/>
        </w:rPr>
        <w:t>es programmes ou actions ».</w:t>
      </w:r>
    </w:p>
    <w:p w:rsidR="00D93C17" w:rsidRPr="00CD1C20" w:rsidRDefault="00D93C17" w:rsidP="00D93C17">
      <w:pPr>
        <w:ind w:left="1068" w:hanging="360"/>
        <w:jc w:val="both"/>
        <w:rPr>
          <w:rFonts w:ascii="Arial" w:hAnsi="Arial" w:cs="Arial"/>
          <w:sz w:val="22"/>
          <w:szCs w:val="22"/>
        </w:rPr>
      </w:pPr>
      <w:r>
        <w:rPr>
          <w:rFonts w:ascii="Arial" w:hAnsi="Arial" w:cs="Arial"/>
          <w:sz w:val="22"/>
          <w:szCs w:val="22"/>
        </w:rPr>
        <w:t>3°</w:t>
      </w:r>
      <w:r w:rsidRPr="00CD1C20">
        <w:rPr>
          <w:rFonts w:ascii="Arial" w:hAnsi="Arial" w:cs="Arial"/>
          <w:sz w:val="22"/>
          <w:szCs w:val="22"/>
        </w:rPr>
        <w:t xml:space="preserve"> </w:t>
      </w:r>
      <w:r>
        <w:rPr>
          <w:rFonts w:ascii="Arial" w:hAnsi="Arial" w:cs="Arial"/>
          <w:sz w:val="22"/>
          <w:szCs w:val="22"/>
        </w:rPr>
        <w:tab/>
      </w:r>
      <w:r w:rsidRPr="00CD1C20">
        <w:rPr>
          <w:rFonts w:ascii="Arial" w:hAnsi="Arial" w:cs="Arial"/>
          <w:sz w:val="22"/>
          <w:szCs w:val="22"/>
        </w:rPr>
        <w:t>La coordination du programme répond aux obligations définies à l’article R. 1161-3 du code de la santé</w:t>
      </w:r>
      <w:r>
        <w:rPr>
          <w:rFonts w:ascii="Arial" w:hAnsi="Arial" w:cs="Arial"/>
          <w:sz w:val="22"/>
          <w:szCs w:val="22"/>
        </w:rPr>
        <w:t xml:space="preserve"> </w:t>
      </w:r>
      <w:r w:rsidRPr="00CD1C20">
        <w:rPr>
          <w:rFonts w:ascii="Arial" w:hAnsi="Arial" w:cs="Arial"/>
          <w:sz w:val="22"/>
          <w:szCs w:val="22"/>
        </w:rPr>
        <w:t>publique :</w:t>
      </w:r>
    </w:p>
    <w:p w:rsidR="00D93C17" w:rsidRDefault="00D93C17" w:rsidP="00D93C17">
      <w:pPr>
        <w:ind w:left="1068"/>
        <w:jc w:val="both"/>
        <w:rPr>
          <w:rFonts w:ascii="Arial" w:hAnsi="Arial" w:cs="Arial"/>
          <w:sz w:val="22"/>
          <w:szCs w:val="22"/>
        </w:rPr>
      </w:pPr>
      <w:r w:rsidRPr="00CD1C20">
        <w:rPr>
          <w:rFonts w:ascii="Arial" w:hAnsi="Arial" w:cs="Arial"/>
          <w:sz w:val="22"/>
          <w:szCs w:val="22"/>
        </w:rPr>
        <w:t>Article R. 1161-3 d</w:t>
      </w:r>
      <w:r>
        <w:rPr>
          <w:rFonts w:ascii="Arial" w:hAnsi="Arial" w:cs="Arial"/>
          <w:sz w:val="22"/>
          <w:szCs w:val="22"/>
        </w:rPr>
        <w:t>u code de la santé publique : « </w:t>
      </w:r>
      <w:r w:rsidRPr="00CD1C20">
        <w:rPr>
          <w:rFonts w:ascii="Arial" w:hAnsi="Arial" w:cs="Arial"/>
          <w:sz w:val="22"/>
          <w:szCs w:val="22"/>
        </w:rPr>
        <w:t>Les programmes d’éducation thérapeutique du patient</w:t>
      </w:r>
      <w:r>
        <w:rPr>
          <w:rFonts w:ascii="Arial" w:hAnsi="Arial" w:cs="Arial"/>
          <w:sz w:val="22"/>
          <w:szCs w:val="22"/>
        </w:rPr>
        <w:t xml:space="preserve"> </w:t>
      </w:r>
      <w:r w:rsidRPr="00CD1C20">
        <w:rPr>
          <w:rFonts w:ascii="Arial" w:hAnsi="Arial" w:cs="Arial"/>
          <w:sz w:val="22"/>
          <w:szCs w:val="22"/>
        </w:rPr>
        <w:t>mentionnés aux articles L. 1161-2 à L. 1161-4 sont coordonnés par un médecin, par un autre professionnel de</w:t>
      </w:r>
      <w:r>
        <w:rPr>
          <w:rFonts w:ascii="Arial" w:hAnsi="Arial" w:cs="Arial"/>
          <w:sz w:val="22"/>
          <w:szCs w:val="22"/>
        </w:rPr>
        <w:t xml:space="preserve"> </w:t>
      </w:r>
      <w:r w:rsidRPr="00CD1C20">
        <w:rPr>
          <w:rFonts w:ascii="Arial" w:hAnsi="Arial" w:cs="Arial"/>
          <w:sz w:val="22"/>
          <w:szCs w:val="22"/>
        </w:rPr>
        <w:t>santé ou par un représentant dûment mandaté d’une association de patients agréée au titre de l'article L. 1114-1.</w:t>
      </w:r>
    </w:p>
    <w:p w:rsidR="00D93C17" w:rsidRPr="00CD1C20" w:rsidRDefault="00D93C17" w:rsidP="00D93C17">
      <w:pPr>
        <w:ind w:left="708"/>
        <w:jc w:val="both"/>
        <w:rPr>
          <w:rFonts w:ascii="Arial" w:hAnsi="Arial" w:cs="Arial"/>
          <w:sz w:val="22"/>
          <w:szCs w:val="22"/>
        </w:rPr>
      </w:pPr>
    </w:p>
    <w:p w:rsidR="00D93C17" w:rsidRDefault="00D93C17" w:rsidP="00D93C17">
      <w:pPr>
        <w:ind w:left="1068"/>
        <w:jc w:val="both"/>
        <w:rPr>
          <w:rFonts w:ascii="Arial" w:hAnsi="Arial" w:cs="Arial"/>
          <w:sz w:val="22"/>
          <w:szCs w:val="22"/>
        </w:rPr>
      </w:pPr>
      <w:r w:rsidRPr="00CD1C20">
        <w:rPr>
          <w:rFonts w:ascii="Arial" w:hAnsi="Arial" w:cs="Arial"/>
          <w:sz w:val="22"/>
          <w:szCs w:val="22"/>
        </w:rPr>
        <w:t>Un programme doit être mis en œuvre par au moins deux professionnels de santé de professions différentes,</w:t>
      </w:r>
      <w:r>
        <w:rPr>
          <w:rFonts w:ascii="Arial" w:hAnsi="Arial" w:cs="Arial"/>
          <w:sz w:val="22"/>
          <w:szCs w:val="22"/>
        </w:rPr>
        <w:t xml:space="preserve"> </w:t>
      </w:r>
      <w:r w:rsidRPr="00CD1C20">
        <w:rPr>
          <w:rFonts w:ascii="Arial" w:hAnsi="Arial" w:cs="Arial"/>
          <w:sz w:val="22"/>
          <w:szCs w:val="22"/>
        </w:rPr>
        <w:t>régies par les dispositions des livres Ier et II et des titres Ier à VII du livre III de la quatrième partie.</w:t>
      </w:r>
      <w:r>
        <w:rPr>
          <w:rFonts w:ascii="Arial" w:hAnsi="Arial" w:cs="Arial"/>
          <w:sz w:val="22"/>
          <w:szCs w:val="22"/>
        </w:rPr>
        <w:t xml:space="preserve"> </w:t>
      </w:r>
      <w:r w:rsidRPr="00CD1C20">
        <w:rPr>
          <w:rFonts w:ascii="Arial" w:hAnsi="Arial" w:cs="Arial"/>
          <w:sz w:val="22"/>
          <w:szCs w:val="22"/>
        </w:rPr>
        <w:t>Lorsque le programme n’est pas coordonné par un médecin, l’un de ces deux professionnels de santé est un</w:t>
      </w:r>
      <w:r>
        <w:rPr>
          <w:rFonts w:ascii="Arial" w:hAnsi="Arial" w:cs="Arial"/>
          <w:sz w:val="22"/>
          <w:szCs w:val="22"/>
        </w:rPr>
        <w:t xml:space="preserve"> </w:t>
      </w:r>
      <w:r w:rsidRPr="00CD1C20">
        <w:rPr>
          <w:rFonts w:ascii="Arial" w:hAnsi="Arial" w:cs="Arial"/>
          <w:sz w:val="22"/>
          <w:szCs w:val="22"/>
        </w:rPr>
        <w:t>médecin. »</w:t>
      </w:r>
    </w:p>
    <w:p w:rsidR="00D93C17" w:rsidRPr="00CD1C20" w:rsidRDefault="00D93C17" w:rsidP="00D93C17">
      <w:pPr>
        <w:ind w:left="708"/>
        <w:jc w:val="both"/>
        <w:rPr>
          <w:rFonts w:ascii="Arial" w:hAnsi="Arial" w:cs="Arial"/>
          <w:sz w:val="22"/>
          <w:szCs w:val="22"/>
        </w:rPr>
      </w:pPr>
    </w:p>
    <w:p w:rsidR="00D93C17" w:rsidRPr="00CD1C20" w:rsidRDefault="00D93C17" w:rsidP="00D93C17">
      <w:pPr>
        <w:ind w:left="708"/>
        <w:jc w:val="both"/>
        <w:rPr>
          <w:rFonts w:ascii="Arial" w:hAnsi="Arial" w:cs="Arial"/>
          <w:sz w:val="22"/>
          <w:szCs w:val="22"/>
        </w:rPr>
      </w:pPr>
      <w:r w:rsidRPr="00CD1C20">
        <w:rPr>
          <w:rFonts w:ascii="Arial" w:hAnsi="Arial" w:cs="Arial"/>
          <w:sz w:val="22"/>
          <w:szCs w:val="22"/>
        </w:rPr>
        <w:t xml:space="preserve">2. </w:t>
      </w:r>
      <w:r w:rsidRPr="00FC2821">
        <w:rPr>
          <w:rFonts w:ascii="Arial" w:hAnsi="Arial" w:cs="Arial"/>
          <w:sz w:val="22"/>
          <w:szCs w:val="22"/>
          <w:u w:val="single"/>
        </w:rPr>
        <w:t>Les compétences des professionnels intervenant dans le cadre du programme sont conformes aux exigences prévues à l’article R. 1161-2 du code de la santé publique</w:t>
      </w:r>
    </w:p>
    <w:p w:rsidR="00D93C17" w:rsidRDefault="00D93C17" w:rsidP="00D93C17">
      <w:pPr>
        <w:jc w:val="both"/>
        <w:rPr>
          <w:rFonts w:ascii="Arial" w:hAnsi="Arial" w:cs="Arial"/>
          <w:sz w:val="22"/>
          <w:szCs w:val="22"/>
        </w:rPr>
      </w:pPr>
    </w:p>
    <w:p w:rsidR="00D93C17" w:rsidRDefault="00D93C17" w:rsidP="00D93C17">
      <w:pPr>
        <w:jc w:val="both"/>
        <w:rPr>
          <w:rFonts w:ascii="Arial" w:hAnsi="Arial" w:cs="Arial"/>
          <w:sz w:val="22"/>
          <w:szCs w:val="22"/>
        </w:rPr>
      </w:pPr>
    </w:p>
    <w:p w:rsidR="00D93C17" w:rsidRDefault="00D93C17" w:rsidP="00D93C17">
      <w:pPr>
        <w:jc w:val="both"/>
        <w:rPr>
          <w:rFonts w:ascii="Arial" w:hAnsi="Arial" w:cs="Arial"/>
          <w:sz w:val="22"/>
          <w:szCs w:val="22"/>
        </w:rPr>
      </w:pPr>
    </w:p>
    <w:tbl>
      <w:tblPr>
        <w:tblStyle w:val="Grilledutableau"/>
        <w:tblW w:w="8930" w:type="dxa"/>
        <w:tblInd w:w="675" w:type="dxa"/>
        <w:tblLook w:val="04A0" w:firstRow="1" w:lastRow="0" w:firstColumn="1" w:lastColumn="0" w:noHBand="0" w:noVBand="1"/>
      </w:tblPr>
      <w:tblGrid>
        <w:gridCol w:w="3356"/>
        <w:gridCol w:w="2881"/>
        <w:gridCol w:w="2693"/>
      </w:tblGrid>
      <w:tr w:rsidR="00D93C17" w:rsidTr="00BC5355">
        <w:tc>
          <w:tcPr>
            <w:tcW w:w="3356" w:type="dxa"/>
            <w:tcBorders>
              <w:top w:val="single" w:sz="4" w:space="0" w:color="auto"/>
              <w:left w:val="single" w:sz="4" w:space="0" w:color="auto"/>
              <w:bottom w:val="single" w:sz="4" w:space="0" w:color="auto"/>
              <w:right w:val="single" w:sz="4" w:space="0" w:color="auto"/>
            </w:tcBorders>
            <w:hideMark/>
          </w:tcPr>
          <w:p w:rsidR="00D93C17" w:rsidRDefault="00D93C17" w:rsidP="00BC5355">
            <w:pPr>
              <w:jc w:val="center"/>
            </w:pPr>
            <w:r>
              <w:t>Nom et prénom du coordonnateur</w:t>
            </w:r>
          </w:p>
        </w:tc>
        <w:tc>
          <w:tcPr>
            <w:tcW w:w="2881" w:type="dxa"/>
            <w:tcBorders>
              <w:top w:val="single" w:sz="4" w:space="0" w:color="auto"/>
              <w:left w:val="single" w:sz="4" w:space="0" w:color="auto"/>
              <w:bottom w:val="single" w:sz="4" w:space="0" w:color="auto"/>
              <w:right w:val="single" w:sz="4" w:space="0" w:color="auto"/>
            </w:tcBorders>
            <w:hideMark/>
          </w:tcPr>
          <w:p w:rsidR="00D93C17" w:rsidRDefault="00D93C17" w:rsidP="00BC5355">
            <w:pPr>
              <w:jc w:val="center"/>
            </w:pPr>
            <w:r>
              <w:t>Signature</w:t>
            </w:r>
          </w:p>
        </w:tc>
        <w:tc>
          <w:tcPr>
            <w:tcW w:w="2693" w:type="dxa"/>
            <w:tcBorders>
              <w:top w:val="single" w:sz="4" w:space="0" w:color="auto"/>
              <w:left w:val="single" w:sz="4" w:space="0" w:color="auto"/>
              <w:bottom w:val="single" w:sz="4" w:space="0" w:color="auto"/>
              <w:right w:val="single" w:sz="4" w:space="0" w:color="auto"/>
            </w:tcBorders>
            <w:hideMark/>
          </w:tcPr>
          <w:p w:rsidR="00D93C17" w:rsidRDefault="00D93C17" w:rsidP="00BC5355">
            <w:pPr>
              <w:jc w:val="center"/>
            </w:pPr>
            <w:r>
              <w:t>Date de signature</w:t>
            </w:r>
          </w:p>
        </w:tc>
      </w:tr>
      <w:tr w:rsidR="00D93C17" w:rsidTr="00BC5355">
        <w:trPr>
          <w:trHeight w:val="1309"/>
        </w:trPr>
        <w:tc>
          <w:tcPr>
            <w:tcW w:w="3356" w:type="dxa"/>
            <w:tcBorders>
              <w:top w:val="single" w:sz="4" w:space="0" w:color="auto"/>
              <w:left w:val="single" w:sz="4" w:space="0" w:color="auto"/>
              <w:bottom w:val="single" w:sz="4" w:space="0" w:color="auto"/>
              <w:right w:val="single" w:sz="4" w:space="0" w:color="auto"/>
            </w:tcBorders>
          </w:tcPr>
          <w:p w:rsidR="00D93C17" w:rsidRDefault="00D93C17" w:rsidP="00BC5355">
            <w:pPr>
              <w:jc w:val="both"/>
            </w:pPr>
          </w:p>
        </w:tc>
        <w:tc>
          <w:tcPr>
            <w:tcW w:w="2881" w:type="dxa"/>
            <w:tcBorders>
              <w:top w:val="single" w:sz="4" w:space="0" w:color="auto"/>
              <w:left w:val="single" w:sz="4" w:space="0" w:color="auto"/>
              <w:bottom w:val="single" w:sz="4" w:space="0" w:color="auto"/>
              <w:right w:val="single" w:sz="4" w:space="0" w:color="auto"/>
            </w:tcBorders>
          </w:tcPr>
          <w:p w:rsidR="00D93C17" w:rsidRDefault="00D93C17" w:rsidP="00BC5355">
            <w:pPr>
              <w:jc w:val="both"/>
            </w:pPr>
          </w:p>
        </w:tc>
        <w:tc>
          <w:tcPr>
            <w:tcW w:w="2693" w:type="dxa"/>
            <w:tcBorders>
              <w:top w:val="single" w:sz="4" w:space="0" w:color="auto"/>
              <w:left w:val="single" w:sz="4" w:space="0" w:color="auto"/>
              <w:bottom w:val="single" w:sz="4" w:space="0" w:color="auto"/>
              <w:right w:val="single" w:sz="4" w:space="0" w:color="auto"/>
            </w:tcBorders>
          </w:tcPr>
          <w:p w:rsidR="00D93C17" w:rsidRDefault="00D93C17" w:rsidP="00BC5355">
            <w:pPr>
              <w:jc w:val="both"/>
            </w:pPr>
          </w:p>
        </w:tc>
      </w:tr>
    </w:tbl>
    <w:p w:rsidR="000D48C4" w:rsidRDefault="000D48C4">
      <w:bookmarkStart w:id="0" w:name="_GoBack"/>
      <w:bookmarkEnd w:id="0"/>
    </w:p>
    <w:sectPr w:rsidR="000D4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37BA5"/>
    <w:multiLevelType w:val="hybridMultilevel"/>
    <w:tmpl w:val="7070FA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C3161AC"/>
    <w:multiLevelType w:val="hybridMultilevel"/>
    <w:tmpl w:val="3CC6CBA6"/>
    <w:lvl w:ilvl="0" w:tplc="040C0001">
      <w:start w:val="1"/>
      <w:numFmt w:val="bullet"/>
      <w:lvlText w:val=""/>
      <w:lvlJc w:val="left"/>
      <w:pPr>
        <w:tabs>
          <w:tab w:val="num" w:pos="502"/>
        </w:tabs>
        <w:ind w:left="502" w:hanging="360"/>
      </w:pPr>
      <w:rPr>
        <w:rFonts w:ascii="Symbol" w:hAnsi="Symbol"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17"/>
    <w:rsid w:val="000D48C4"/>
    <w:rsid w:val="00D93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3C17"/>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uiPriority w:val="39"/>
    <w:rsid w:val="00D93C1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3C17"/>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uiPriority w:val="39"/>
    <w:rsid w:val="00D93C1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3012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QUENEDEY Manuella</dc:creator>
  <cp:lastModifiedBy>QUENEDEY Manuella</cp:lastModifiedBy>
  <cp:revision>1</cp:revision>
  <dcterms:created xsi:type="dcterms:W3CDTF">2021-02-11T09:47:00Z</dcterms:created>
  <dcterms:modified xsi:type="dcterms:W3CDTF">2021-02-11T09:48:00Z</dcterms:modified>
</cp:coreProperties>
</file>